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800" w:firstLineChars="600"/>
        <w:jc w:val="left"/>
        <w:rPr>
          <w:rFonts w:hint="eastAsia"/>
          <w:bCs/>
          <w:color w:val="000000"/>
          <w:sz w:val="36"/>
        </w:rPr>
      </w:pPr>
      <w:r>
        <w:rPr>
          <w:rFonts w:hint="eastAsia"/>
          <w:bCs/>
          <w:color w:val="000000"/>
          <w:sz w:val="36"/>
        </w:rPr>
        <w:t>宁波市发改委公开招聘报名表</w:t>
      </w:r>
    </w:p>
    <w:tbl>
      <w:tblPr>
        <w:tblStyle w:val="3"/>
        <w:tblW w:w="9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36"/>
        <w:gridCol w:w="765"/>
        <w:gridCol w:w="1056"/>
        <w:gridCol w:w="1070"/>
        <w:gridCol w:w="1069"/>
        <w:gridCol w:w="720"/>
        <w:gridCol w:w="72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技术职称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 电话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55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身体 状况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单位性质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拟应聘岗位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2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起止日期</w:t>
            </w: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30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2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起止日期</w:t>
            </w: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92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主要业绩及获奖情况</w:t>
            </w:r>
          </w:p>
        </w:tc>
        <w:tc>
          <w:tcPr>
            <w:tcW w:w="83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应聘理由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及其他需要说明的问题</w:t>
            </w:r>
          </w:p>
        </w:tc>
        <w:tc>
          <w:tcPr>
            <w:tcW w:w="83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与市发改委和市信息中心工作人员关系情况（填写具体关系、姓名）</w:t>
            </w:r>
          </w:p>
        </w:tc>
        <w:tc>
          <w:tcPr>
            <w:tcW w:w="83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夫妻关系(                       );直系血亲关系（                       ）；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三代以内旁系血亲关系（                 ）；近姻亲关系（                  ）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无上述亲属关系 （         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603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本表所填写内容完全属实，如有作假，一经查实，愿意取消被录用资格。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承诺人签字：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20   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rPr>
          <w:color w:val="000000"/>
        </w:rPr>
      </w:pPr>
    </w:p>
    <w:p>
      <w:pPr/>
      <w:bookmarkStart w:id="0" w:name="_GoBack"/>
      <w:bookmarkEnd w:id="0"/>
    </w:p>
    <w:sectPr>
      <w:pgSz w:w="11906" w:h="16838"/>
      <w:pgMar w:top="1984" w:right="1361" w:bottom="1531" w:left="1587" w:header="851" w:footer="992" w:gutter="0"/>
      <w:cols w:space="72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C31D4"/>
    <w:rsid w:val="729C31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2016-05-18T07:22:00Z</dcterms:created>
  <dc:creator>Administrator</dc:creator>
  <cp:lastModifiedBy>Administrator</cp:lastModifiedBy>
  <dcterms:modified xsi:type="dcterms:W3CDTF">2016-05-18T07:23:36Z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