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附件</w:t>
      </w:r>
      <w:bookmarkStart w:id="0" w:name="_GoBack"/>
      <w:bookmarkEnd w:id="0"/>
    </w:p>
    <w:tbl>
      <w:tblPr>
        <w:tblStyle w:val="6"/>
        <w:tblW w:w="13126" w:type="dxa"/>
        <w:tblInd w:w="0" w:type="dxa"/>
        <w:tblLayout w:type="fixed"/>
        <w:tblCellMar>
          <w:top w:w="15" w:type="dxa"/>
          <w:left w:w="15" w:type="dxa"/>
          <w:bottom w:w="15" w:type="dxa"/>
          <w:right w:w="15" w:type="dxa"/>
        </w:tblCellMar>
      </w:tblPr>
      <w:tblGrid>
        <w:gridCol w:w="423"/>
        <w:gridCol w:w="1545"/>
        <w:gridCol w:w="1556"/>
        <w:gridCol w:w="1084"/>
        <w:gridCol w:w="909"/>
        <w:gridCol w:w="1744"/>
        <w:gridCol w:w="684"/>
        <w:gridCol w:w="786"/>
        <w:gridCol w:w="1122"/>
        <w:gridCol w:w="1493"/>
        <w:gridCol w:w="1780"/>
      </w:tblGrid>
      <w:tr>
        <w:tblPrEx>
          <w:tblLayout w:type="fixed"/>
          <w:tblCellMar>
            <w:top w:w="15" w:type="dxa"/>
            <w:left w:w="15" w:type="dxa"/>
            <w:bottom w:w="15" w:type="dxa"/>
            <w:right w:w="15" w:type="dxa"/>
          </w:tblCellMar>
        </w:tblPrEx>
        <w:trPr>
          <w:trHeight w:val="615" w:hRule="atLeast"/>
        </w:trPr>
        <w:tc>
          <w:tcPr>
            <w:tcW w:w="13126" w:type="dxa"/>
            <w:gridSpan w:val="11"/>
            <w:shd w:val="clear" w:color="auto" w:fill="FFFFFF"/>
            <w:vAlign w:val="center"/>
          </w:tcPr>
          <w:p>
            <w:pPr>
              <w:widowControl/>
              <w:jc w:val="center"/>
              <w:textAlignment w:val="center"/>
              <w:rPr>
                <w:rFonts w:ascii="宋体" w:cs="宋体"/>
                <w:b/>
                <w:color w:val="000000"/>
                <w:sz w:val="36"/>
                <w:szCs w:val="36"/>
              </w:rPr>
            </w:pPr>
            <w:r>
              <w:rPr>
                <w:rFonts w:ascii="宋体" w:hAnsi="宋体" w:cs="宋体"/>
                <w:b/>
                <w:color w:val="000000"/>
                <w:kern w:val="0"/>
                <w:sz w:val="36"/>
                <w:szCs w:val="36"/>
              </w:rPr>
              <w:t>2016</w:t>
            </w:r>
            <w:r>
              <w:rPr>
                <w:rFonts w:hint="eastAsia" w:ascii="宋体" w:hAnsi="宋体" w:cs="宋体"/>
                <w:b/>
                <w:color w:val="000000"/>
                <w:kern w:val="0"/>
                <w:sz w:val="36"/>
                <w:szCs w:val="36"/>
              </w:rPr>
              <w:t>年广安市前锋区面向区外公开选调机关事业单位工作人员职位一览表</w:t>
            </w:r>
          </w:p>
        </w:tc>
      </w:tr>
      <w:tr>
        <w:tblPrEx>
          <w:tblLayout w:type="fixed"/>
          <w:tblCellMar>
            <w:top w:w="15" w:type="dxa"/>
            <w:left w:w="15" w:type="dxa"/>
            <w:bottom w:w="15" w:type="dxa"/>
            <w:right w:w="15" w:type="dxa"/>
          </w:tblCellMar>
        </w:tblPrEx>
        <w:trPr>
          <w:trHeight w:val="435"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主管部门</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用人单位</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用人单位性质</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岗位类型</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职位简介</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职位代码</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遴选人数</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学历</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专</w:t>
            </w:r>
            <w:r>
              <w:rPr>
                <w:rFonts w:ascii="仿宋_GB2312" w:hAnsi="宋体" w:eastAsia="仿宋_GB2312" w:cs="仿宋_GB2312"/>
                <w:b/>
                <w:color w:val="000000"/>
                <w:kern w:val="0"/>
                <w:sz w:val="18"/>
                <w:szCs w:val="18"/>
              </w:rPr>
              <w:t xml:space="preserve">    </w:t>
            </w:r>
            <w:r>
              <w:rPr>
                <w:rFonts w:hint="eastAsia" w:ascii="仿宋_GB2312" w:hAnsi="宋体" w:eastAsia="仿宋_GB2312" w:cs="仿宋_GB2312"/>
                <w:b/>
                <w:color w:val="000000"/>
                <w:kern w:val="0"/>
                <w:sz w:val="18"/>
                <w:szCs w:val="18"/>
              </w:rPr>
              <w:t>业</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备</w:t>
            </w:r>
            <w:r>
              <w:rPr>
                <w:rFonts w:ascii="仿宋_GB2312" w:hAnsi="宋体" w:eastAsia="仿宋_GB2312" w:cs="仿宋_GB2312"/>
                <w:b/>
                <w:color w:val="000000"/>
                <w:kern w:val="0"/>
                <w:sz w:val="18"/>
                <w:szCs w:val="18"/>
              </w:rPr>
              <w:t xml:space="preserve">  </w:t>
            </w:r>
            <w:r>
              <w:rPr>
                <w:rFonts w:hint="eastAsia" w:ascii="仿宋_GB2312" w:hAnsi="宋体" w:eastAsia="仿宋_GB2312" w:cs="仿宋_GB2312"/>
                <w:b/>
                <w:color w:val="000000"/>
                <w:kern w:val="0"/>
                <w:sz w:val="18"/>
                <w:szCs w:val="18"/>
              </w:rPr>
              <w:t>注</w:t>
            </w:r>
          </w:p>
        </w:tc>
      </w:tr>
      <w:tr>
        <w:tblPrEx>
          <w:tblLayout w:type="fixed"/>
          <w:tblCellMar>
            <w:top w:w="15" w:type="dxa"/>
            <w:left w:w="15" w:type="dxa"/>
            <w:bottom w:w="15" w:type="dxa"/>
            <w:right w:w="15" w:type="dxa"/>
          </w:tblCellMar>
        </w:tblPrEx>
        <w:trPr>
          <w:trHeight w:val="446"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前锋区纪委</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前锋区纪委机关</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行政机关</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从事纪检监察工作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01</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全日制大学本科及以上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前锋区委宣传部</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前锋区委宣传部机关</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行政机关</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从事文秘、办公室工作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453"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3</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前锋区文联</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从事文学艺术工作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03</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4</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前锋区社科联</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从事理论、哲学、社会学研究工作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04</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1545" w:type="dxa"/>
            <w:vMerge w:val="restart"/>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前锋区城管执法局</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前锋区城管执法局机关</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行政机关</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从事一线执法工作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05</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本科及以上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法学类</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6</w:t>
            </w:r>
          </w:p>
        </w:tc>
        <w:tc>
          <w:tcPr>
            <w:tcW w:w="1545"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前锋区城管执法局机关</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行政机关</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从事办公室公文处理</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06</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本科及以上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中文、汉语言文学、文秘</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7</w:t>
            </w:r>
          </w:p>
        </w:tc>
        <w:tc>
          <w:tcPr>
            <w:tcW w:w="1545"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前锋区城管执法一大队</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从事一线执法工作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07</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土木类</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8</w:t>
            </w:r>
          </w:p>
        </w:tc>
        <w:tc>
          <w:tcPr>
            <w:tcW w:w="1545"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前锋区城管执法一大队</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从事一线执法工作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08</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建筑类</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9</w:t>
            </w:r>
          </w:p>
        </w:tc>
        <w:tc>
          <w:tcPr>
            <w:tcW w:w="1545"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前锋区城管执法二大队</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从事一线执法工作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09</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计算机类</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10</w:t>
            </w:r>
          </w:p>
        </w:tc>
        <w:tc>
          <w:tcPr>
            <w:tcW w:w="1545" w:type="dxa"/>
            <w:vMerge w:val="continue"/>
            <w:tcBorders>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前锋区城管执法二大队</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参公管理</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工作人员</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从事财务会计工作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10</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财务、会计类</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具有公务员或参公人员身份</w:t>
            </w:r>
          </w:p>
        </w:tc>
      </w:tr>
      <w:tr>
        <w:tblPrEx>
          <w:tblLayout w:type="fixed"/>
          <w:tblCellMar>
            <w:top w:w="15" w:type="dxa"/>
            <w:left w:w="15" w:type="dxa"/>
            <w:bottom w:w="15" w:type="dxa"/>
            <w:right w:w="15" w:type="dxa"/>
          </w:tblCellMar>
        </w:tblPrEx>
        <w:trPr>
          <w:trHeight w:val="72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前锋区纪委</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前锋区党风廉政教育培训中心</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事业单位</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管理岗位</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从事党风廉政建设和反腐败形势分析、理论研究、教育培训等工作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11</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全日制大学本科及以上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不含工勤人员聘用在专技岗位和管理岗位的人员</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12</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前锋区委宣传部</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前锋区网络文化建设和舆情管理中心</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事业单位</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管理岗位</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从事网络舆情工作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12</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不含工勤人员聘用在专技岗位和管理岗位的人员</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13</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前锋区委报道组</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事业单位</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管理岗位</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从事新闻宣传报道工作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13</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2</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不含工勤人员聘用在专技岗位和管理岗位的人员</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14</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前锋区龙塘街道办事处（前锋商贸物流园区管委会）</w:t>
            </w: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前锋区龙塘街道办事处社会事业服务中心</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事业单位</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管理岗位</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从事社会事务管理</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14</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不含工勤人员聘用在专技岗位和管理岗位的人员</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15</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rPr>
                <w:rFonts w:ascii="仿宋_GB2312" w:hAnsi="宋体" w:eastAsia="仿宋_GB2312" w:cs="仿宋_GB2312"/>
                <w:color w:val="000000"/>
                <w:sz w:val="18"/>
                <w:szCs w:val="18"/>
              </w:rPr>
            </w:pPr>
          </w:p>
        </w:tc>
        <w:tc>
          <w:tcPr>
            <w:tcW w:w="1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前锋区龙塘街道办事处招商及企业服务中心</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事业单位</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管理岗位</w:t>
            </w:r>
          </w:p>
        </w:tc>
        <w:tc>
          <w:tcPr>
            <w:tcW w:w="1744" w:type="dxa"/>
            <w:tcBorders>
              <w:top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从事企业招引与服务</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15</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3</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不限</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00" w:lineRule="exact"/>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不含工勤人员聘用在专技岗位和管理岗位的人员</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16</w:t>
            </w:r>
          </w:p>
        </w:tc>
        <w:tc>
          <w:tcPr>
            <w:tcW w:w="154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仿宋_GB2312" w:hAnsi="宋体" w:eastAsia="仿宋_GB2312" w:cs="仿宋_GB2312"/>
                <w:color w:val="000000"/>
                <w:sz w:val="18"/>
                <w:szCs w:val="18"/>
              </w:rPr>
            </w:pPr>
            <w:r>
              <w:rPr>
                <w:rFonts w:hint="eastAsia" w:ascii="仿宋_GB2312" w:hAnsi="仿宋_GB2312" w:eastAsia="仿宋_GB2312" w:cs="仿宋_GB2312"/>
                <w:sz w:val="18"/>
                <w:szCs w:val="18"/>
                <w:shd w:val="clear" w:color="auto" w:fill="FFFFFF"/>
                <w:vertAlign w:val="baseline"/>
                <w:lang w:val="en-US" w:eastAsia="zh-CN"/>
              </w:rPr>
              <w:t>前锋区政务服务中心</w:t>
            </w:r>
          </w:p>
        </w:tc>
        <w:tc>
          <w:tcPr>
            <w:tcW w:w="155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前锋区一窗受理服务中心</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事业单位</w:t>
            </w:r>
          </w:p>
        </w:tc>
        <w:tc>
          <w:tcPr>
            <w:tcW w:w="90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管理岗位</w:t>
            </w:r>
          </w:p>
        </w:tc>
        <w:tc>
          <w:tcPr>
            <w:tcW w:w="1744" w:type="dxa"/>
            <w:tcBorders>
              <w:top w:val="single" w:color="000000" w:sz="4" w:space="0"/>
              <w:bottom w:val="single" w:color="000000" w:sz="4" w:space="0"/>
              <w:right w:val="single" w:color="000000" w:sz="4" w:space="0"/>
            </w:tcBorders>
            <w:shd w:val="clear" w:color="auto" w:fill="FFFFFF"/>
            <w:textDirection w:val="lrTb"/>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从事财务会计工作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16</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财务、会计类</w:t>
            </w:r>
          </w:p>
        </w:tc>
        <w:tc>
          <w:tcPr>
            <w:tcW w:w="17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不含工勤人员聘用在管理或专业技术岗位的人员</w:t>
            </w:r>
          </w:p>
        </w:tc>
      </w:tr>
      <w:tr>
        <w:tblPrEx>
          <w:tblLayout w:type="fixed"/>
          <w:tblCellMar>
            <w:top w:w="15" w:type="dxa"/>
            <w:left w:w="15" w:type="dxa"/>
            <w:bottom w:w="15" w:type="dxa"/>
            <w:right w:w="15" w:type="dxa"/>
          </w:tblCellMar>
        </w:tblPrEx>
        <w:trPr>
          <w:trHeight w:val="570" w:hRule="atLeast"/>
        </w:trPr>
        <w:tc>
          <w:tcPr>
            <w:tcW w:w="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17</w:t>
            </w:r>
          </w:p>
        </w:tc>
        <w:tc>
          <w:tcPr>
            <w:tcW w:w="154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rPr>
                <w:rFonts w:ascii="仿宋_GB2312" w:hAnsi="宋体" w:eastAsia="仿宋_GB2312" w:cs="仿宋_GB2312"/>
                <w:color w:val="000000"/>
                <w:sz w:val="18"/>
                <w:szCs w:val="18"/>
              </w:rPr>
            </w:pPr>
          </w:p>
        </w:tc>
        <w:tc>
          <w:tcPr>
            <w:tcW w:w="155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_GB2312" w:hAnsi="宋体" w:eastAsia="仿宋_GB2312" w:cs="仿宋_GB2312"/>
                <w:color w:val="000000"/>
                <w:kern w:val="0"/>
                <w:sz w:val="18"/>
                <w:szCs w:val="18"/>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事业单位</w:t>
            </w:r>
          </w:p>
        </w:tc>
        <w:tc>
          <w:tcPr>
            <w:tcW w:w="909"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管理岗位</w:t>
            </w:r>
          </w:p>
        </w:tc>
        <w:tc>
          <w:tcPr>
            <w:tcW w:w="1744" w:type="dxa"/>
            <w:tcBorders>
              <w:top w:val="single" w:color="000000" w:sz="4" w:space="0"/>
              <w:bottom w:val="single" w:color="000000" w:sz="4" w:space="0"/>
              <w:right w:val="single" w:color="000000" w:sz="4" w:space="0"/>
            </w:tcBorders>
            <w:shd w:val="clear" w:color="auto" w:fill="FFFFFF"/>
            <w:textDirection w:val="lrTb"/>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从事综合管理服务工作</w:t>
            </w: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17</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eastAsia" w:ascii="仿宋_GB2312" w:hAnsi="宋体" w:eastAsia="仿宋_GB2312" w:cs="仿宋_GB2312"/>
                <w:color w:val="000000"/>
                <w:kern w:val="0"/>
                <w:sz w:val="18"/>
                <w:szCs w:val="18"/>
                <w:lang w:val="en-US" w:eastAsia="zh-CN"/>
              </w:rPr>
            </w:pPr>
            <w:r>
              <w:rPr>
                <w:rFonts w:hint="eastAsia" w:ascii="仿宋_GB2312" w:hAnsi="宋体" w:eastAsia="仿宋_GB2312" w:cs="仿宋_GB2312"/>
                <w:color w:val="000000"/>
                <w:kern w:val="0"/>
                <w:sz w:val="18"/>
                <w:szCs w:val="18"/>
                <w:lang w:val="en-US" w:eastAsia="zh-CN"/>
              </w:rPr>
              <w:t>1</w:t>
            </w:r>
          </w:p>
        </w:tc>
        <w:tc>
          <w:tcPr>
            <w:tcW w:w="1122"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大专及以上</w:t>
            </w:r>
          </w:p>
        </w:tc>
        <w:tc>
          <w:tcPr>
            <w:tcW w:w="1493"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不限</w:t>
            </w:r>
          </w:p>
        </w:tc>
        <w:tc>
          <w:tcPr>
            <w:tcW w:w="178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auto"/>
              <w:outlineLvl w:val="9"/>
              <w:rPr>
                <w:rFonts w:hint="eastAsia" w:ascii="仿宋_GB2312" w:hAnsi="宋体" w:eastAsia="仿宋_GB2312" w:cs="仿宋_GB2312"/>
                <w:color w:val="000000"/>
                <w:kern w:val="0"/>
                <w:sz w:val="18"/>
                <w:szCs w:val="18"/>
              </w:rPr>
            </w:pPr>
            <w:r>
              <w:rPr>
                <w:rFonts w:hint="eastAsia" w:ascii="仿宋_GB2312" w:hAnsi="仿宋_GB2312" w:eastAsia="仿宋_GB2312" w:cs="仿宋_GB2312"/>
                <w:sz w:val="18"/>
                <w:szCs w:val="18"/>
                <w:shd w:val="clear" w:color="auto" w:fill="FFFFFF"/>
                <w:vertAlign w:val="baseline"/>
                <w:lang w:val="en-US" w:eastAsia="zh-CN"/>
              </w:rPr>
              <w:t>不含工勤人员聘用在管理或专业技术岗位的人员</w:t>
            </w:r>
          </w:p>
        </w:tc>
      </w:tr>
      <w:tr>
        <w:tblPrEx>
          <w:tblLayout w:type="fixed"/>
          <w:tblCellMar>
            <w:top w:w="15" w:type="dxa"/>
            <w:left w:w="15" w:type="dxa"/>
            <w:bottom w:w="15" w:type="dxa"/>
            <w:right w:w="15" w:type="dxa"/>
          </w:tblCellMar>
        </w:tblPrEx>
        <w:trPr>
          <w:trHeight w:val="390" w:hRule="atLeast"/>
        </w:trPr>
        <w:tc>
          <w:tcPr>
            <w:tcW w:w="352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hint="eastAsia" w:ascii="仿宋_GB2312" w:hAnsi="宋体" w:eastAsia="仿宋_GB2312" w:cs="仿宋_GB2312"/>
                <w:b/>
                <w:color w:val="000000"/>
                <w:kern w:val="0"/>
                <w:sz w:val="18"/>
                <w:szCs w:val="18"/>
              </w:rPr>
              <w:t>合计</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1744" w:type="dxa"/>
            <w:tcBorders>
              <w:top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18"/>
                <w:szCs w:val="18"/>
              </w:rPr>
            </w:pPr>
            <w:r>
              <w:rPr>
                <w:rFonts w:ascii="仿宋_GB2312" w:hAnsi="宋体" w:eastAsia="仿宋_GB2312" w:cs="仿宋_GB2312"/>
                <w:b/>
                <w:color w:val="000000"/>
                <w:kern w:val="0"/>
                <w:sz w:val="18"/>
                <w:szCs w:val="18"/>
              </w:rPr>
              <w:t>2</w:t>
            </w:r>
            <w:r>
              <w:rPr>
                <w:rFonts w:hint="eastAsia" w:ascii="仿宋_GB2312" w:hAnsi="宋体" w:eastAsia="仿宋_GB2312" w:cs="仿宋_GB2312"/>
                <w:b/>
                <w:color w:val="000000"/>
                <w:kern w:val="0"/>
                <w:sz w:val="18"/>
                <w:szCs w:val="18"/>
                <w:lang w:val="en-US" w:eastAsia="zh-CN"/>
              </w:rPr>
              <w:t>3</w:t>
            </w:r>
          </w:p>
        </w:tc>
        <w:tc>
          <w:tcPr>
            <w:tcW w:w="1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_GB2312" w:hAnsi="宋体" w:eastAsia="仿宋_GB2312" w:cs="仿宋_GB2312"/>
                <w:b/>
                <w:color w:val="000000"/>
                <w:sz w:val="18"/>
                <w:szCs w:val="18"/>
              </w:rPr>
            </w:pPr>
          </w:p>
        </w:tc>
      </w:tr>
    </w:tbl>
    <w:p/>
    <w:sectPr>
      <w:pgSz w:w="16838" w:h="11906" w:orient="landscape"/>
      <w:pgMar w:top="1587" w:right="2098" w:bottom="1474" w:left="1984" w:header="851" w:footer="992" w:gutter="0"/>
      <w:paperSrc/>
      <w:pgNumType w:fmt="numberInDash"/>
      <w:cols w:space="0" w:num="1"/>
      <w:rtlGutter w:val="0"/>
      <w:docGrid w:type="lines"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03F16"/>
    <w:rsid w:val="07003F16"/>
    <w:rsid w:val="12F53213"/>
    <w:rsid w:val="4EDD27B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Autospacing="1" w:afterAutospacing="1"/>
      <w:jc w:val="left"/>
    </w:pPr>
    <w:rPr>
      <w:kern w:val="0"/>
      <w:sz w:val="24"/>
    </w:rPr>
  </w:style>
  <w:style w:type="character" w:styleId="5">
    <w:name w:val="page number"/>
    <w:basedOn w:val="4"/>
    <w:uiPriority w:val="0"/>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2016-09-07T06:58:00Z</dcterms:created>
  <dc:creator>Administrator</dc:creator>
  <cp:lastModifiedBy>Administrator</cp:lastModifiedBy>
  <dcterms:modified xsi:type="dcterms:W3CDTF">2016-09-07T06:59:05Z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