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color w:val="494949"/>
          <w:sz w:val="21"/>
          <w:szCs w:val="21"/>
          <w:bdr w:val="none" w:color="auto" w:sz="0" w:space="0"/>
        </w:rPr>
      </w:pPr>
      <w:r>
        <w:rPr>
          <w:sz w:val="24"/>
          <w:szCs w:val="24"/>
        </w:rPr>
        <w:t>湖北经济学院2016—2017年度高层次人才招聘</w:t>
      </w:r>
      <w:r>
        <w:rPr>
          <w:rFonts w:hint="eastAsia"/>
          <w:sz w:val="24"/>
          <w:szCs w:val="24"/>
          <w:lang w:eastAsia="zh-CN"/>
        </w:rPr>
        <w:t>岗位计划表</w:t>
      </w:r>
      <w:bookmarkStart w:id="0" w:name="_GoBack"/>
      <w:bookmarkEnd w:id="0"/>
    </w:p>
    <w:tbl>
      <w:tblPr>
        <w:tblW w:w="109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740"/>
        <w:gridCol w:w="1437"/>
        <w:gridCol w:w="1971"/>
        <w:gridCol w:w="1533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科研启动费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住房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薪资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安家费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配偶工作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6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“国家千人计划”入选者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自然科学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200-300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150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㎡校内过渡性住房</w:t>
            </w:r>
          </w:p>
        </w:tc>
        <w:tc>
          <w:tcPr>
            <w:tcW w:w="1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年薪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60-100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享受国家政策规定的津贴</w:t>
            </w:r>
          </w:p>
        </w:tc>
        <w:tc>
          <w:tcPr>
            <w:tcW w:w="15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150-180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万（主要用于购房补贴、搬迁）</w:t>
            </w:r>
          </w:p>
        </w:tc>
        <w:tc>
          <w:tcPr>
            <w:tcW w:w="16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安排配偶工作，若无，发一次性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补贴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6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人文社科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100-200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“国家特支计划”杰出人才人选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自然科学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200-300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150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㎡校内过渡性住房</w:t>
            </w:r>
          </w:p>
        </w:tc>
        <w:tc>
          <w:tcPr>
            <w:tcW w:w="1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年薪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60-80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享受国家政策规定的津贴</w:t>
            </w:r>
          </w:p>
        </w:tc>
        <w:tc>
          <w:tcPr>
            <w:tcW w:w="15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120-150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万（主要用于购房补贴、搬迁）</w:t>
            </w:r>
          </w:p>
        </w:tc>
        <w:tc>
          <w:tcPr>
            <w:tcW w:w="16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安排配偶工作，若无，发一次性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补贴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6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人文社科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100-200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“长江学者”特聘教授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自然科学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150-250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150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㎡校内过渡性住房</w:t>
            </w:r>
          </w:p>
        </w:tc>
        <w:tc>
          <w:tcPr>
            <w:tcW w:w="1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年薪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60-80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享受国家政策规定的津贴</w:t>
            </w:r>
          </w:p>
        </w:tc>
        <w:tc>
          <w:tcPr>
            <w:tcW w:w="15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120-150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万（主要用于购房补贴、搬迁）</w:t>
            </w:r>
          </w:p>
        </w:tc>
        <w:tc>
          <w:tcPr>
            <w:tcW w:w="16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安排配偶工作，若无，发一次性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补贴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6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人文社科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50-150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“国家特支计划”领军人物人选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自然科学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100-200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150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㎡校内过渡性住房</w:t>
            </w:r>
          </w:p>
        </w:tc>
        <w:tc>
          <w:tcPr>
            <w:tcW w:w="1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年薪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60-80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享受国家政策规定的津贴</w:t>
            </w:r>
          </w:p>
        </w:tc>
        <w:tc>
          <w:tcPr>
            <w:tcW w:w="15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100-120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万（主要用于购房补贴、搬迁）</w:t>
            </w:r>
          </w:p>
        </w:tc>
        <w:tc>
          <w:tcPr>
            <w:tcW w:w="16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安排配偶工作，若无，发一次性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补贴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6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人文社科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50-120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6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“国家杰出青年科学基金”获得者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自然科学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150-250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150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㎡校内过渡性住房</w:t>
            </w:r>
          </w:p>
        </w:tc>
        <w:tc>
          <w:tcPr>
            <w:tcW w:w="1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年薪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60-80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享受国家政策规定的津贴</w:t>
            </w:r>
          </w:p>
        </w:tc>
        <w:tc>
          <w:tcPr>
            <w:tcW w:w="15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100-120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万（主要用于购房补贴、搬迁）</w:t>
            </w:r>
          </w:p>
        </w:tc>
        <w:tc>
          <w:tcPr>
            <w:tcW w:w="16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安排配偶工作，若无，发一次性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补贴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6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人文社科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50-150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湖北省“百人计划”人选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自然科学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100-200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120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㎡校内过渡性住房</w:t>
            </w:r>
          </w:p>
        </w:tc>
        <w:tc>
          <w:tcPr>
            <w:tcW w:w="1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年薪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40-60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省拨津贴</w:t>
            </w:r>
          </w:p>
        </w:tc>
        <w:tc>
          <w:tcPr>
            <w:tcW w:w="15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80-100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万（主要用于购房补贴、搬迁）</w:t>
            </w:r>
          </w:p>
        </w:tc>
        <w:tc>
          <w:tcPr>
            <w:tcW w:w="16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协助安排配偶工作，若无，发一次性补贴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6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人文社科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30-100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湖北省“楚天学者”特聘教授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自然科学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50-100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120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㎡校内过渡性住房</w:t>
            </w:r>
          </w:p>
        </w:tc>
        <w:tc>
          <w:tcPr>
            <w:tcW w:w="19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工资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津贴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年（含省拨津贴）</w:t>
            </w:r>
          </w:p>
        </w:tc>
        <w:tc>
          <w:tcPr>
            <w:tcW w:w="15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60-80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万（主要用于购房补贴、搬迁）</w:t>
            </w:r>
          </w:p>
        </w:tc>
        <w:tc>
          <w:tcPr>
            <w:tcW w:w="16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协助安排配偶工作，若无，发一次性补贴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6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人文社科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15-30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66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教授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10-15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㎡校内过渡性住房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年薪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万起</w:t>
            </w: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10-20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协助安排配偶工作，若无，发一次性补贴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6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境外优秀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5-10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㎡校内过渡性住房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年薪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万起</w:t>
            </w:r>
          </w:p>
        </w:tc>
        <w:tc>
          <w:tcPr>
            <w:tcW w:w="153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  <w:lang w:val="en-US"/>
              </w:rPr>
              <w:t>10-15</w:t>
            </w: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万</w:t>
            </w: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  <w:bdr w:val="none" w:color="auto" w:sz="0" w:space="0"/>
              </w:rPr>
              <w:t>视优秀情况而定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03F655A5"/>
    <w:rsid w:val="05F470F5"/>
    <w:rsid w:val="19455F85"/>
    <w:rsid w:val="1D493B4C"/>
    <w:rsid w:val="21292B3C"/>
    <w:rsid w:val="2DD1294E"/>
    <w:rsid w:val="2E841D14"/>
    <w:rsid w:val="36155AB1"/>
    <w:rsid w:val="36580BCE"/>
    <w:rsid w:val="39BB5A76"/>
    <w:rsid w:val="3BA415E8"/>
    <w:rsid w:val="3C6461A3"/>
    <w:rsid w:val="4BE833E0"/>
    <w:rsid w:val="4D344438"/>
    <w:rsid w:val="524E2E97"/>
    <w:rsid w:val="55ED57FF"/>
    <w:rsid w:val="59B02AD1"/>
    <w:rsid w:val="59BD30B8"/>
    <w:rsid w:val="62A46863"/>
    <w:rsid w:val="776767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uiPriority w:val="0"/>
    <w:rPr>
      <w:b/>
      <w:color w:val="EE3322"/>
    </w:rPr>
  </w:style>
  <w:style w:type="character" w:customStyle="1" w:styleId="36">
    <w:name w:val="ds-reads-app-special"/>
    <w:basedOn w:val="4"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2016-11-02T03:54:06Z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