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
        <w:tblW w:w="2212" w:type="pct"/>
        <w:tblLook w:val="04A0"/>
      </w:tblPr>
      <w:tblGrid>
        <w:gridCol w:w="1207"/>
        <w:gridCol w:w="1207"/>
        <w:gridCol w:w="2370"/>
        <w:gridCol w:w="2824"/>
        <w:gridCol w:w="3440"/>
      </w:tblGrid>
      <w:tr w:rsidR="0052331C" w:rsidRPr="0055265D" w:rsidTr="005537A1">
        <w:trPr>
          <w:cnfStyle w:val="100000000000"/>
          <w:trHeight w:val="767"/>
        </w:trPr>
        <w:tc>
          <w:tcPr>
            <w:tcW w:w="546" w:type="pct"/>
            <w:hideMark/>
          </w:tcPr>
          <w:p w:rsidR="0052331C" w:rsidRPr="0055265D" w:rsidRDefault="0052331C" w:rsidP="005537A1">
            <w:pPr>
              <w:spacing w:line="300" w:lineRule="exact"/>
              <w:rPr>
                <w:rFonts w:ascii="微软雅黑" w:hAnsi="微软雅黑"/>
                <w:kern w:val="2"/>
                <w:szCs w:val="22"/>
              </w:rPr>
            </w:pPr>
            <w:bookmarkStart w:id="0" w:name="OLE_LINK9"/>
            <w:bookmarkStart w:id="1" w:name="OLE_LINK10"/>
            <w:r w:rsidRPr="0055265D">
              <w:rPr>
                <w:rFonts w:ascii="微软雅黑" w:hAnsi="微软雅黑"/>
                <w:kern w:val="2"/>
                <w:szCs w:val="22"/>
              </w:rPr>
              <w:t>招聘岗位</w:t>
            </w:r>
          </w:p>
        </w:tc>
        <w:tc>
          <w:tcPr>
            <w:tcW w:w="546" w:type="pct"/>
            <w:hideMark/>
          </w:tcPr>
          <w:p w:rsidR="0052331C" w:rsidRPr="0055265D" w:rsidRDefault="0052331C" w:rsidP="005537A1">
            <w:pPr>
              <w:spacing w:line="300" w:lineRule="exact"/>
              <w:rPr>
                <w:rFonts w:ascii="微软雅黑" w:hAnsi="微软雅黑"/>
                <w:kern w:val="2"/>
                <w:szCs w:val="22"/>
              </w:rPr>
            </w:pPr>
            <w:r w:rsidRPr="0055265D">
              <w:rPr>
                <w:rFonts w:ascii="微软雅黑" w:hAnsi="微软雅黑"/>
                <w:kern w:val="2"/>
                <w:szCs w:val="22"/>
              </w:rPr>
              <w:t>招聘人数</w:t>
            </w:r>
          </w:p>
        </w:tc>
        <w:tc>
          <w:tcPr>
            <w:tcW w:w="1072" w:type="pct"/>
            <w:hideMark/>
          </w:tcPr>
          <w:p w:rsidR="0052331C" w:rsidRPr="0055265D" w:rsidRDefault="0052331C" w:rsidP="005537A1">
            <w:pPr>
              <w:spacing w:line="300" w:lineRule="exact"/>
              <w:rPr>
                <w:rFonts w:ascii="微软雅黑" w:hAnsi="微软雅黑"/>
                <w:kern w:val="2"/>
                <w:szCs w:val="22"/>
              </w:rPr>
            </w:pPr>
            <w:r w:rsidRPr="0055265D">
              <w:rPr>
                <w:rFonts w:ascii="微软雅黑" w:hAnsi="微软雅黑"/>
                <w:kern w:val="2"/>
                <w:szCs w:val="22"/>
              </w:rPr>
              <w:t>岗位描述</w:t>
            </w:r>
          </w:p>
        </w:tc>
        <w:tc>
          <w:tcPr>
            <w:tcW w:w="1278" w:type="pct"/>
            <w:hideMark/>
          </w:tcPr>
          <w:p w:rsidR="0052331C" w:rsidRPr="0055265D" w:rsidRDefault="0052331C" w:rsidP="005537A1">
            <w:pPr>
              <w:spacing w:line="300" w:lineRule="exact"/>
              <w:rPr>
                <w:rFonts w:ascii="微软雅黑" w:hAnsi="微软雅黑"/>
                <w:kern w:val="2"/>
                <w:szCs w:val="22"/>
              </w:rPr>
            </w:pPr>
            <w:r w:rsidRPr="0055265D">
              <w:rPr>
                <w:rFonts w:ascii="微软雅黑" w:hAnsi="微软雅黑"/>
                <w:kern w:val="2"/>
                <w:szCs w:val="22"/>
              </w:rPr>
              <w:t>招聘要求</w:t>
            </w:r>
          </w:p>
        </w:tc>
        <w:tc>
          <w:tcPr>
            <w:tcW w:w="1557" w:type="pct"/>
            <w:hideMark/>
          </w:tcPr>
          <w:p w:rsidR="0052331C" w:rsidRPr="0055265D" w:rsidRDefault="0052331C" w:rsidP="005537A1">
            <w:pPr>
              <w:spacing w:line="300" w:lineRule="exact"/>
              <w:rPr>
                <w:rFonts w:ascii="微软雅黑" w:hAnsi="微软雅黑"/>
                <w:kern w:val="2"/>
                <w:szCs w:val="22"/>
              </w:rPr>
            </w:pPr>
            <w:r w:rsidRPr="0055265D">
              <w:rPr>
                <w:rFonts w:ascii="微软雅黑" w:hAnsi="微软雅黑"/>
                <w:kern w:val="2"/>
                <w:szCs w:val="22"/>
              </w:rPr>
              <w:t>岗位待遇</w:t>
            </w:r>
          </w:p>
        </w:tc>
      </w:tr>
      <w:tr w:rsidR="0052331C" w:rsidRPr="0055265D" w:rsidTr="005537A1">
        <w:trPr>
          <w:trHeight w:val="2264"/>
        </w:trPr>
        <w:tc>
          <w:tcPr>
            <w:tcW w:w="546" w:type="pct"/>
            <w:hideMark/>
          </w:tcPr>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博士后（学术研究导向型）</w:t>
            </w:r>
          </w:p>
        </w:tc>
        <w:tc>
          <w:tcPr>
            <w:tcW w:w="546" w:type="pct"/>
            <w:hideMark/>
          </w:tcPr>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多名</w:t>
            </w:r>
          </w:p>
        </w:tc>
        <w:tc>
          <w:tcPr>
            <w:tcW w:w="1072" w:type="pct"/>
            <w:hideMark/>
          </w:tcPr>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从事以下一项或多项工作：</w:t>
            </w:r>
          </w:p>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1、结合大数据的仓储与物流管理学术研究；</w:t>
            </w:r>
          </w:p>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2、物联网环境下结合大数据的供应链管理学术研究；</w:t>
            </w:r>
          </w:p>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3、交叉应用型学术文章写作与发表；</w:t>
            </w:r>
          </w:p>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4、数据驱动型高水平研究论文写作。</w:t>
            </w:r>
          </w:p>
        </w:tc>
        <w:tc>
          <w:tcPr>
            <w:tcW w:w="1278" w:type="pct"/>
            <w:hideMark/>
          </w:tcPr>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1、已经取得或即将取得国内外大学或研究机构管理学/计算机学/统计学等相关专业的博士学位；</w:t>
            </w:r>
          </w:p>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2、作为主要贡献者在SCI或SSCI主流期刊上发表过（含录用）研究论文；</w:t>
            </w:r>
          </w:p>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3、具有强烈的科研兴趣，具备良好的专业素质和独立科研能力；</w:t>
            </w:r>
          </w:p>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4、具备良好的英语读写与交流能力，原则上要求CET-6及以上水平；</w:t>
            </w:r>
          </w:p>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5、有数据处理及分析研究经验者优先。</w:t>
            </w:r>
          </w:p>
        </w:tc>
        <w:tc>
          <w:tcPr>
            <w:tcW w:w="1557" w:type="pct"/>
            <w:hideMark/>
          </w:tcPr>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1、依申请人简历与面试情况提供年薪12-15万元人民币。其他福利待遇按中国科学技术大学有关规定执行；</w:t>
            </w:r>
          </w:p>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2、博士后期间，可依托中国科学技术大学的软硬件设备开展研究并申请课题；</w:t>
            </w:r>
          </w:p>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3、博士后期间，可根据课题需要资助参与重大国际、国内学术活动；</w:t>
            </w:r>
          </w:p>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4、博士后期间，子女可在中科大幼儿园、附属小学、附属中学就学；</w:t>
            </w:r>
          </w:p>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5、博士后期满若考核优秀，可申请学校的“特任副研究员”岗位。</w:t>
            </w:r>
          </w:p>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6、期满出站后可推荐到相关合作企业工作。</w:t>
            </w:r>
          </w:p>
        </w:tc>
      </w:tr>
      <w:tr w:rsidR="0052331C" w:rsidRPr="0055265D" w:rsidTr="005537A1">
        <w:trPr>
          <w:trHeight w:val="163"/>
        </w:trPr>
        <w:tc>
          <w:tcPr>
            <w:tcW w:w="546" w:type="pct"/>
            <w:hideMark/>
          </w:tcPr>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博士后（实践研究导向型）</w:t>
            </w:r>
          </w:p>
        </w:tc>
        <w:tc>
          <w:tcPr>
            <w:tcW w:w="546" w:type="pct"/>
            <w:hideMark/>
          </w:tcPr>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多名</w:t>
            </w:r>
          </w:p>
        </w:tc>
        <w:tc>
          <w:tcPr>
            <w:tcW w:w="1072" w:type="pct"/>
            <w:hideMark/>
          </w:tcPr>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从事以下一项或多项工作：</w:t>
            </w:r>
          </w:p>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1、商业或企业数据预处理及分析；</w:t>
            </w:r>
          </w:p>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2、商业或企业实践问题的解决方案；</w:t>
            </w:r>
          </w:p>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3、商业或企业案例写作；</w:t>
            </w:r>
          </w:p>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4、软件开发；</w:t>
            </w:r>
          </w:p>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5、专利撰写与申请；</w:t>
            </w:r>
          </w:p>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6、相关行业标准的制定；</w:t>
            </w:r>
          </w:p>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7、交叉应用型学术文章写作与发表。</w:t>
            </w:r>
          </w:p>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 </w:t>
            </w:r>
          </w:p>
        </w:tc>
        <w:tc>
          <w:tcPr>
            <w:tcW w:w="1278" w:type="pct"/>
            <w:hideMark/>
          </w:tcPr>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1、已经取得或即将取得国内外大学或研究机构管理学/计算机学/统计学等相关专业的博士学位；</w:t>
            </w:r>
          </w:p>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2、作为主要贡献者在国内外主流期刊上发表过（含录用）研究论文；</w:t>
            </w:r>
          </w:p>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3、具有强烈的科研兴趣，具备良好的专业素质和独立科研能力；</w:t>
            </w:r>
          </w:p>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4、具备良好的英语读写与交流能力，原则上要求CET-6及以上水平；</w:t>
            </w:r>
          </w:p>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5、要求熟练使用数据处理软件（R统计工具或其他相关的统计软件）和数据挖掘技术，有数据处理及分析研究经验者优先。</w:t>
            </w:r>
          </w:p>
        </w:tc>
        <w:tc>
          <w:tcPr>
            <w:tcW w:w="1557" w:type="pct"/>
            <w:hideMark/>
          </w:tcPr>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1、依申请人简历与面试情况提供年薪10-20万元人民币。其他福利待遇按中国科学技术大学有关规定执行；</w:t>
            </w:r>
          </w:p>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2、博士后期间，可依托中国科学技术大学的软硬件设备开展研究并申请课题；</w:t>
            </w:r>
          </w:p>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3、博士后期间，可根据课题需要资助参与重大国际、国内学术活动；</w:t>
            </w:r>
          </w:p>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4、博士后期间，子女可在中科大幼儿园、附属小学、附属中学就学；</w:t>
            </w:r>
          </w:p>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5、博士后期满若考核优秀，可申请学校的“特任副研究员”岗位。</w:t>
            </w:r>
          </w:p>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6、期满出站后可推荐到相关合作企业工作。</w:t>
            </w:r>
          </w:p>
        </w:tc>
      </w:tr>
      <w:tr w:rsidR="0052331C" w:rsidRPr="0055265D" w:rsidTr="005537A1">
        <w:trPr>
          <w:trHeight w:val="906"/>
        </w:trPr>
        <w:tc>
          <w:tcPr>
            <w:tcW w:w="546" w:type="pct"/>
            <w:hideMark/>
          </w:tcPr>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行政管理</w:t>
            </w:r>
          </w:p>
        </w:tc>
        <w:tc>
          <w:tcPr>
            <w:tcW w:w="546" w:type="pct"/>
            <w:hideMark/>
          </w:tcPr>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1</w:t>
            </w:r>
          </w:p>
        </w:tc>
        <w:tc>
          <w:tcPr>
            <w:tcW w:w="1072" w:type="pct"/>
            <w:hideMark/>
          </w:tcPr>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1、会议组织与会务管理；</w:t>
            </w:r>
          </w:p>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2、印章及文件、档案等管理；</w:t>
            </w:r>
          </w:p>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3、综合物资的购置与管理；</w:t>
            </w:r>
          </w:p>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4、餐饮、住宿等公务接待工作；</w:t>
            </w:r>
          </w:p>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5、公文、文件、规章等文字材料撰写；</w:t>
            </w:r>
          </w:p>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6、资产、安全与卫生管理；</w:t>
            </w:r>
          </w:p>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7、合同（协议）的管理；</w:t>
            </w:r>
          </w:p>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8、日常行政管理与综合服务工作。</w:t>
            </w:r>
          </w:p>
        </w:tc>
        <w:tc>
          <w:tcPr>
            <w:tcW w:w="1278" w:type="pct"/>
            <w:hideMark/>
          </w:tcPr>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1、研究生毕业且有3年以上工作经历；</w:t>
            </w:r>
          </w:p>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2、具备岗位所需的专业知识，具有较强的管理沟通与组织协调能力；</w:t>
            </w:r>
          </w:p>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3、能熟练使用各类办公自动化软件；</w:t>
            </w:r>
          </w:p>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4、具有较强公文写作和语言表达能力；</w:t>
            </w:r>
          </w:p>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5、英语要求具备CET-4及以上水平，有相关工作经历经验者优先。</w:t>
            </w:r>
          </w:p>
        </w:tc>
        <w:tc>
          <w:tcPr>
            <w:tcW w:w="1557" w:type="pct"/>
            <w:hideMark/>
          </w:tcPr>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参照并且不低于中国科学技术大学校内相关行政管理岗位的员工待遇。</w:t>
            </w:r>
          </w:p>
        </w:tc>
      </w:tr>
      <w:tr w:rsidR="0052331C" w:rsidRPr="0055265D" w:rsidTr="005537A1">
        <w:trPr>
          <w:trHeight w:val="906"/>
        </w:trPr>
        <w:tc>
          <w:tcPr>
            <w:tcW w:w="546" w:type="pct"/>
            <w:hideMark/>
          </w:tcPr>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财务管理</w:t>
            </w:r>
          </w:p>
        </w:tc>
        <w:tc>
          <w:tcPr>
            <w:tcW w:w="546" w:type="pct"/>
            <w:hideMark/>
          </w:tcPr>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1</w:t>
            </w:r>
          </w:p>
        </w:tc>
        <w:tc>
          <w:tcPr>
            <w:tcW w:w="1072" w:type="pct"/>
            <w:hideMark/>
          </w:tcPr>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1、建立各项财务管理制度；</w:t>
            </w:r>
          </w:p>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2、财务单据的归集、审核及会计核算；</w:t>
            </w:r>
          </w:p>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3、资金使用情况记录和分析；</w:t>
            </w:r>
          </w:p>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4、财务档案资料的保管；</w:t>
            </w:r>
          </w:p>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5、其他与财务管理相关的工作。</w:t>
            </w:r>
          </w:p>
        </w:tc>
        <w:tc>
          <w:tcPr>
            <w:tcW w:w="1278" w:type="pct"/>
            <w:hideMark/>
          </w:tcPr>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1、本科毕业且有5年以上工作经历或研究生毕业；</w:t>
            </w:r>
          </w:p>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2、具有助理会计师（含）以上会计专业技术资格证书；</w:t>
            </w:r>
          </w:p>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3、具有较强的管理沟通与组织协调能力；</w:t>
            </w:r>
          </w:p>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4、能熟练使用各类办公自动化软件。</w:t>
            </w:r>
          </w:p>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5、具有较强文字和语言表达能力。</w:t>
            </w:r>
          </w:p>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6、英语要求具备CET-4及以上水平。</w:t>
            </w:r>
          </w:p>
        </w:tc>
        <w:tc>
          <w:tcPr>
            <w:tcW w:w="1557" w:type="pct"/>
            <w:hideMark/>
          </w:tcPr>
          <w:p w:rsidR="0052331C" w:rsidRPr="0055265D" w:rsidRDefault="0052331C" w:rsidP="005537A1">
            <w:pPr>
              <w:spacing w:line="300" w:lineRule="exact"/>
              <w:rPr>
                <w:rFonts w:ascii="微软雅黑" w:hAnsi="微软雅黑"/>
                <w:kern w:val="2"/>
                <w:sz w:val="21"/>
                <w:szCs w:val="22"/>
              </w:rPr>
            </w:pPr>
            <w:r w:rsidRPr="0055265D">
              <w:rPr>
                <w:rFonts w:ascii="微软雅黑" w:hAnsi="微软雅黑"/>
                <w:kern w:val="2"/>
                <w:sz w:val="21"/>
                <w:szCs w:val="22"/>
              </w:rPr>
              <w:t>参照并且不低于中国科学技术大学校内相关行政管理岗位的员工待遇。</w:t>
            </w:r>
          </w:p>
        </w:tc>
      </w:tr>
      <w:bookmarkEnd w:id="0"/>
      <w:bookmarkEnd w:id="1"/>
    </w:tbl>
    <w:p w:rsidR="00ED3E69" w:rsidRDefault="00ED3E69"/>
    <w:sectPr w:rsidR="00ED3E69" w:rsidSect="0052331C">
      <w:pgSz w:w="28350" w:h="28350"/>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9BA" w:rsidRDefault="003509BA" w:rsidP="00E17E6F">
      <w:r>
        <w:separator/>
      </w:r>
    </w:p>
  </w:endnote>
  <w:endnote w:type="continuationSeparator" w:id="0">
    <w:p w:rsidR="003509BA" w:rsidRDefault="003509BA" w:rsidP="00E17E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9BA" w:rsidRDefault="003509BA" w:rsidP="00E17E6F">
      <w:r>
        <w:separator/>
      </w:r>
    </w:p>
  </w:footnote>
  <w:footnote w:type="continuationSeparator" w:id="0">
    <w:p w:rsidR="003509BA" w:rsidRDefault="003509BA" w:rsidP="00E17E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331C"/>
    <w:rsid w:val="001967D0"/>
    <w:rsid w:val="001C015B"/>
    <w:rsid w:val="00250040"/>
    <w:rsid w:val="0027685C"/>
    <w:rsid w:val="00302D5E"/>
    <w:rsid w:val="003509BA"/>
    <w:rsid w:val="003E6199"/>
    <w:rsid w:val="003E6F50"/>
    <w:rsid w:val="0045741F"/>
    <w:rsid w:val="0052331C"/>
    <w:rsid w:val="00581CD3"/>
    <w:rsid w:val="005F7AEB"/>
    <w:rsid w:val="00677178"/>
    <w:rsid w:val="007D2074"/>
    <w:rsid w:val="00813931"/>
    <w:rsid w:val="009616C5"/>
    <w:rsid w:val="00A1226C"/>
    <w:rsid w:val="00A2603D"/>
    <w:rsid w:val="00AD691D"/>
    <w:rsid w:val="00B15871"/>
    <w:rsid w:val="00B467F2"/>
    <w:rsid w:val="00B4730E"/>
    <w:rsid w:val="00BF634B"/>
    <w:rsid w:val="00C93D91"/>
    <w:rsid w:val="00CC5BF4"/>
    <w:rsid w:val="00DA37EB"/>
    <w:rsid w:val="00DD600F"/>
    <w:rsid w:val="00E17E6F"/>
    <w:rsid w:val="00E40229"/>
    <w:rsid w:val="00ED3E69"/>
    <w:rsid w:val="00FE3A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3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样式1"/>
    <w:basedOn w:val="3"/>
    <w:uiPriority w:val="99"/>
    <w:rsid w:val="0052331C"/>
    <w:rPr>
      <w:rFonts w:eastAsia="微软雅黑"/>
      <w:kern w:val="0"/>
      <w:sz w:val="20"/>
      <w:szCs w:val="20"/>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FFFFFF" w:themeFill="background1"/>
    </w:tcPr>
    <w:tblStylePr w:type="firstRow">
      <w:rPr>
        <w:rFonts w:eastAsia="微软雅黑"/>
        <w:b/>
        <w:bCs/>
        <w:color w:val="000000" w:themeColor="text1"/>
        <w:sz w:val="21"/>
      </w:rPr>
      <w:tblPr/>
      <w:tcPr>
        <w:tcBorders>
          <w:tl2br w:val="none" w:sz="0" w:space="0" w:color="auto"/>
          <w:tr2bl w:val="none" w:sz="0" w:space="0" w:color="auto"/>
        </w:tcBorders>
        <w:shd w:val="clear" w:color="auto" w:fill="DBE5F1" w:themeFill="accent1" w:themeFillTint="33"/>
      </w:tcPr>
    </w:tblStylePr>
  </w:style>
  <w:style w:type="table" w:styleId="3">
    <w:name w:val="Table Simple 3"/>
    <w:basedOn w:val="a1"/>
    <w:uiPriority w:val="99"/>
    <w:semiHidden/>
    <w:unhideWhenUsed/>
    <w:rsid w:val="0052331C"/>
    <w:pPr>
      <w:widowControl w:val="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3">
    <w:name w:val="header"/>
    <w:basedOn w:val="a"/>
    <w:link w:val="Char"/>
    <w:uiPriority w:val="99"/>
    <w:semiHidden/>
    <w:unhideWhenUsed/>
    <w:rsid w:val="00E17E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17E6F"/>
    <w:rPr>
      <w:sz w:val="18"/>
      <w:szCs w:val="18"/>
    </w:rPr>
  </w:style>
  <w:style w:type="paragraph" w:styleId="a4">
    <w:name w:val="footer"/>
    <w:basedOn w:val="a"/>
    <w:link w:val="Char0"/>
    <w:uiPriority w:val="99"/>
    <w:semiHidden/>
    <w:unhideWhenUsed/>
    <w:rsid w:val="00E17E6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17E6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1329</Characters>
  <Application>Microsoft Office Word</Application>
  <DocSecurity>0</DocSecurity>
  <Lines>11</Lines>
  <Paragraphs>3</Paragraphs>
  <ScaleCrop>false</ScaleCrop>
  <Company>China</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jiahui</dc:creator>
  <cp:lastModifiedBy>User</cp:lastModifiedBy>
  <cp:revision>2</cp:revision>
  <dcterms:created xsi:type="dcterms:W3CDTF">2017-01-04T02:10:00Z</dcterms:created>
  <dcterms:modified xsi:type="dcterms:W3CDTF">2017-01-04T02:10:00Z</dcterms:modified>
</cp:coreProperties>
</file>