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textAlignment w:val="baseline"/>
        <w:rPr>
          <w:rFonts w:hint="default" w:ascii="楷体_GB2312" w:eastAsia="楷体_GB2312" w:cs="楷体_GB2312"/>
          <w:sz w:val="32"/>
          <w:szCs w:val="32"/>
          <w:shd w:val="clear" w:fill="FFFFFF"/>
          <w:vertAlign w:val="baseline"/>
        </w:rPr>
      </w:pPr>
      <w:r>
        <w:rPr>
          <w:rFonts w:ascii="楷体_GB2312" w:eastAsia="楷体_GB2312" w:cs="楷体_GB2312"/>
          <w:b/>
          <w:sz w:val="32"/>
          <w:szCs w:val="32"/>
          <w:shd w:val="clear" w:fill="FFFFFF"/>
          <w:vertAlign w:val="baseline"/>
        </w:rPr>
        <w:t>1</w:t>
      </w:r>
      <w:r>
        <w:rPr>
          <w:rFonts w:hint="default" w:ascii="楷体_GB2312" w:eastAsia="楷体_GB2312" w:cs="楷体_GB2312"/>
          <w:b/>
          <w:sz w:val="32"/>
          <w:szCs w:val="32"/>
          <w:shd w:val="clear" w:fill="FFFFFF"/>
          <w:vertAlign w:val="baseline"/>
        </w:rPr>
        <w:t>、节能公司下属在京单位：国网（北京）节能设计研究院有限公司</w:t>
      </w:r>
    </w:p>
    <w:tbl>
      <w:tblPr>
        <w:tblW w:w="852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736"/>
        <w:gridCol w:w="881"/>
        <w:gridCol w:w="3340"/>
        <w:gridCol w:w="1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color w:val="4C4C4C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4C4C4C"/>
                <w:sz w:val="24"/>
                <w:szCs w:val="24"/>
              </w:rPr>
              <w:t>序号</w:t>
            </w:r>
          </w:p>
        </w:tc>
        <w:tc>
          <w:tcPr>
            <w:tcW w:w="1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color w:val="4C4C4C"/>
                <w:sz w:val="24"/>
                <w:szCs w:val="24"/>
              </w:rPr>
              <w:t>招聘岗位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color w:val="4C4C4C"/>
                <w:sz w:val="24"/>
                <w:szCs w:val="24"/>
              </w:rPr>
              <w:t>招聘人数</w:t>
            </w:r>
          </w:p>
        </w:tc>
        <w:tc>
          <w:tcPr>
            <w:tcW w:w="3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color w:val="4C4C4C"/>
                <w:sz w:val="24"/>
                <w:szCs w:val="24"/>
              </w:rPr>
              <w:t>需求专业</w:t>
            </w:r>
          </w:p>
        </w:tc>
        <w:tc>
          <w:tcPr>
            <w:tcW w:w="1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color w:val="4C4C4C"/>
                <w:sz w:val="24"/>
                <w:szCs w:val="24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color w:val="4C4C4C"/>
                <w:sz w:val="24"/>
                <w:szCs w:val="24"/>
              </w:rPr>
              <w:t>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工程项目管理技术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热能与动力工程相关专业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发电厂节能管理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热能与动力工程相关专业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环保管理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能源和环境工程专业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电网规划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电力系统及其自动化专业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北京市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textAlignment w:val="baseline"/>
        <w:rPr>
          <w:rFonts w:hint="default" w:ascii="楷体_GB2312" w:eastAsia="楷体_GB2312" w:cs="楷体_GB2312"/>
          <w:b/>
          <w:sz w:val="32"/>
          <w:szCs w:val="32"/>
          <w:shd w:val="clear" w:fill="FFFFFF"/>
          <w:vertAlign w:val="baseline"/>
        </w:rPr>
      </w:pPr>
      <w:r>
        <w:rPr>
          <w:rFonts w:hint="default" w:ascii="楷体_GB2312" w:eastAsia="楷体_GB2312" w:cs="楷体_GB2312"/>
          <w:b/>
          <w:sz w:val="32"/>
          <w:szCs w:val="32"/>
          <w:shd w:val="clear" w:fill="FFFFFF"/>
          <w:vertAlign w:val="baseline"/>
        </w:rPr>
        <w:t>2、节能公司下属国能生物发电集团有限公司</w:t>
      </w:r>
    </w:p>
    <w:tbl>
      <w:tblPr>
        <w:tblW w:w="852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577"/>
        <w:gridCol w:w="1423"/>
        <w:gridCol w:w="1340"/>
        <w:gridCol w:w="1702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color w:val="4C4C4C"/>
                <w:sz w:val="24"/>
                <w:szCs w:val="24"/>
              </w:rPr>
              <w:t>序号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color w:val="4C4C4C"/>
                <w:sz w:val="24"/>
                <w:szCs w:val="24"/>
              </w:rPr>
              <w:t>招聘岗位</w:t>
            </w: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color w:val="4C4C4C"/>
                <w:sz w:val="24"/>
                <w:szCs w:val="24"/>
              </w:rPr>
              <w:t>招聘人数及学历层次要求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color w:val="4C4C4C"/>
                <w:sz w:val="24"/>
                <w:szCs w:val="24"/>
              </w:rPr>
              <w:t>需求专业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color w:val="4C4C4C"/>
                <w:sz w:val="24"/>
                <w:szCs w:val="24"/>
              </w:rPr>
              <w:t>工作所在地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57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color w:val="4C4C4C"/>
                <w:sz w:val="24"/>
                <w:szCs w:val="24"/>
              </w:rPr>
              <w:t>学历要求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color w:val="4C4C4C"/>
                <w:sz w:val="24"/>
                <w:szCs w:val="24"/>
              </w:rPr>
              <w:t>招聘人数</w:t>
            </w: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发电厂运行管理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硕士研究生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热能与动力工程专业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计量技术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硕士研究生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测试计量技术及仪器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动力机械检修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大学本科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电厂化学；电厂设备运行与维护；热能与动力工程；动力机械检修；检测技术及应用；电厂热能动力装置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地级市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或县级市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发电厂运行值班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大学本科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61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电厂设备运行与维护；电力系统继电保护与自动化；电力系统自动化技术；电气工程及其自动化；火电厂集控运行；检测技术及应用（电厂热工）；自动化（电厂热工自动化）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地级市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或县级市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财税管理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大学本科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财务管理类相关专业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地级市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或县级市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6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人力资源管理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大学本科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人力资源管理相关专业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地级市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或县级市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7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生产安全监察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大学本科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安全工程相关专业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地级市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或县级市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8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行政管理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大学本科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行政管理相关专业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地级市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或县级市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9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市场管理员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大学本科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市场营销管理类相关专业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地级市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或县级市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动力机械检修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大学专科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热能与动力工程、火电厂集控运行、发电厂及电力系统、电气工程及其自动化、电力系统自动化技术、电厂化学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地级市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或县级市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11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发电厂运行值班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大学专科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105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热能与动力工程、火电厂集控运行、发电厂及电力系统、电气工程及其自动化、电力系统自动化技术、电厂化学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地级市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4"/>
                <w:szCs w:val="24"/>
              </w:rPr>
              <w:t>或县级市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textAlignment w:val="baseline"/>
        <w:rPr>
          <w:rFonts w:hint="default" w:ascii="仿宋_GB2312" w:eastAsia="仿宋_GB2312" w:cs="仿宋_GB2312"/>
          <w:sz w:val="32"/>
          <w:szCs w:val="32"/>
          <w:shd w:val="clear" w:fill="FFFFFF"/>
          <w:vertAlign w:val="baseline"/>
        </w:rPr>
      </w:pPr>
      <w:r>
        <w:rPr>
          <w:rFonts w:hint="default" w:ascii="仿宋_GB2312" w:eastAsia="仿宋_GB2312" w:cs="仿宋_GB2312"/>
          <w:sz w:val="32"/>
          <w:szCs w:val="32"/>
          <w:shd w:val="clear" w:fill="FFFFFF"/>
          <w:vertAlign w:val="baseline"/>
        </w:rPr>
        <w:t>注：1、详细招聘单位及工作地详见附件《国能生物发电集团有限公司所属单位地址、招聘岗位及需求人数》，毕业生需在招聘平台里选择应聘的具体电厂，否则无法进行分配。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left"/>
        <w:textAlignment w:val="baseline"/>
        <w:rPr>
          <w:rFonts w:hint="default" w:ascii="仿宋_GB2312" w:eastAsia="仿宋_GB2312" w:cs="仿宋_GB2312"/>
          <w:sz w:val="32"/>
          <w:szCs w:val="32"/>
          <w:shd w:val="clear" w:fill="FFFFFF"/>
          <w:vertAlign w:val="baseline"/>
        </w:rPr>
      </w:pPr>
      <w:r>
        <w:rPr>
          <w:rFonts w:hint="default" w:ascii="仿宋_GB2312" w:eastAsia="仿宋_GB2312" w:cs="仿宋_GB2312"/>
          <w:sz w:val="32"/>
          <w:szCs w:val="32"/>
          <w:shd w:val="clear" w:fill="FFFFFF"/>
          <w:vertAlign w:val="baseline"/>
        </w:rPr>
        <w:t>2、色盲、色弱以及不适应发电厂工作的疾病受限。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36D02"/>
    <w:rsid w:val="20936D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C4C4C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4C4C4C"/>
      <w:u w:val="none"/>
    </w:rPr>
  </w:style>
  <w:style w:type="character" w:styleId="8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number"/>
    <w:basedOn w:val="3"/>
    <w:uiPriority w:val="0"/>
    <w:rPr>
      <w:rFonts w:ascii="Tahoma" w:hAnsi="Tahoma" w:eastAsia="Tahoma" w:cs="Tahoma"/>
      <w:b/>
      <w:color w:val="333333"/>
      <w:sz w:val="18"/>
      <w:szCs w:val="18"/>
    </w:rPr>
  </w:style>
  <w:style w:type="character" w:customStyle="1" w:styleId="13">
    <w:name w:val="pagebanner"/>
    <w:basedOn w:val="3"/>
    <w:uiPriority w:val="0"/>
    <w:rPr>
      <w:rFonts w:hint="default" w:ascii="Tahoma" w:hAnsi="Tahoma" w:eastAsia="Tahoma" w:cs="Tahoma"/>
      <w:spacing w:val="30"/>
      <w:sz w:val="18"/>
      <w:szCs w:val="18"/>
      <w:bdr w:val="none" w:color="auto" w:sz="0" w:space="0"/>
    </w:rPr>
  </w:style>
  <w:style w:type="character" w:customStyle="1" w:styleId="14">
    <w:name w:val="pagelinks"/>
    <w:basedOn w:val="3"/>
    <w:uiPriority w:val="0"/>
    <w:rPr>
      <w:rFonts w:hint="default" w:ascii="Tahoma" w:hAnsi="Tahoma" w:eastAsia="Tahoma" w:cs="Tahoma"/>
      <w:spacing w:val="30"/>
      <w:sz w:val="18"/>
      <w:szCs w:val="18"/>
      <w:bdr w:val="none" w:color="auto" w:sz="0" w:space="0"/>
      <w:shd w:val="clear" w:fill="EEEEEE"/>
    </w:rPr>
  </w:style>
  <w:style w:type="character" w:customStyle="1" w:styleId="15">
    <w:name w:val="hover12"/>
    <w:basedOn w:val="3"/>
    <w:uiPriority w:val="0"/>
    <w:rPr>
      <w:shd w:val="clear" w:fill="FA7C5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2017-02-27T07:15:00Z</dcterms:created>
  <dc:creator>Administrator</dc:creator>
  <cp:lastModifiedBy>Administrator</cp:lastModifiedBy>
  <dcterms:modified xsi:type="dcterms:W3CDTF">2017-02-27T07:18:34Z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