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00" w:type="pct"/>
        <w:jc w:val="center"/>
        <w:tblCellSpacing w:w="0" w:type="dxa"/>
        <w:shd w:val="clear" w:color="auto" w:fill="FFFFFF"/>
        <w:tblCellMar>
          <w:left w:w="0" w:type="dxa"/>
          <w:right w:w="0" w:type="dxa"/>
        </w:tblCellMar>
        <w:tblLook w:val="04A0" w:firstRow="1" w:lastRow="0" w:firstColumn="1" w:lastColumn="0" w:noHBand="0" w:noVBand="1"/>
      </w:tblPr>
      <w:tblGrid>
        <w:gridCol w:w="8140"/>
      </w:tblGrid>
      <w:tr w:rsidR="00166B82" w:rsidRPr="00166B82" w:rsidTr="00166B82">
        <w:trPr>
          <w:trHeight w:val="4500"/>
          <w:tblCellSpacing w:w="0" w:type="dxa"/>
          <w:jc w:val="center"/>
        </w:trPr>
        <w:tc>
          <w:tcPr>
            <w:tcW w:w="0" w:type="auto"/>
            <w:shd w:val="clear" w:color="auto" w:fill="FFFFFF"/>
            <w:hideMark/>
          </w:tcPr>
          <w:tbl>
            <w:tblPr>
              <w:tblW w:w="4500" w:type="pct"/>
              <w:jc w:val="center"/>
              <w:tblCellSpacing w:w="0" w:type="dxa"/>
              <w:tblCellMar>
                <w:left w:w="0" w:type="dxa"/>
                <w:right w:w="0" w:type="dxa"/>
              </w:tblCellMar>
              <w:tblLook w:val="04A0" w:firstRow="1" w:lastRow="0" w:firstColumn="1" w:lastColumn="0" w:noHBand="0" w:noVBand="1"/>
            </w:tblPr>
            <w:tblGrid>
              <w:gridCol w:w="7326"/>
            </w:tblGrid>
            <w:tr w:rsidR="00166B82" w:rsidRPr="00166B82">
              <w:trPr>
                <w:tblCellSpacing w:w="0" w:type="dxa"/>
                <w:jc w:val="center"/>
              </w:trPr>
              <w:tc>
                <w:tcPr>
                  <w:tcW w:w="0" w:type="auto"/>
                  <w:hideMark/>
                </w:tcPr>
                <w:p w:rsidR="00166B82" w:rsidRPr="00166B82" w:rsidRDefault="00166B82" w:rsidP="00166B82">
                  <w:pPr>
                    <w:widowControl/>
                    <w:spacing w:before="100" w:beforeAutospacing="1" w:after="100" w:afterAutospacing="1" w:line="330" w:lineRule="atLeast"/>
                    <w:jc w:val="center"/>
                    <w:rPr>
                      <w:rFonts w:ascii="宋体" w:eastAsia="宋体" w:hAnsi="宋体" w:cs="宋体"/>
                      <w:color w:val="000000"/>
                      <w:spacing w:val="-4"/>
                      <w:kern w:val="0"/>
                      <w:sz w:val="24"/>
                      <w:szCs w:val="24"/>
                    </w:rPr>
                  </w:pPr>
                  <w:r w:rsidRPr="00166B82">
                    <w:rPr>
                      <w:rFonts w:ascii="宋体" w:eastAsia="宋体" w:hAnsi="宋体" w:cs="宋体" w:hint="eastAsia"/>
                      <w:color w:val="000000"/>
                      <w:spacing w:val="-4"/>
                      <w:kern w:val="0"/>
                      <w:sz w:val="44"/>
                      <w:szCs w:val="44"/>
                    </w:rPr>
                    <w:t>医师资格考试报名资格规定(2014版)</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26"/>
                      <w:szCs w:val="26"/>
                    </w:rPr>
                    <w:t xml:space="preserve">　</w:t>
                  </w:r>
                  <w:r w:rsidRPr="00166B82">
                    <w:rPr>
                      <w:rFonts w:ascii="仿宋_GB2312" w:eastAsia="仿宋_GB2312" w:hAnsi="宋体" w:cs="宋体" w:hint="eastAsia"/>
                      <w:color w:val="000000"/>
                      <w:spacing w:val="-4"/>
                      <w:kern w:val="0"/>
                      <w:sz w:val="32"/>
                      <w:szCs w:val="32"/>
                    </w:rPr>
                    <w:t xml:space="preserve">　为做好医师资格考试报名工作，依据《中华人民共和国执业医师法》(以下简称《执业医师法》)及有关规定，现对医师资格考试考生报名资格规定如下：</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 xml:space="preserve">　第一条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符合《执业医师法》、《医师资格考试暂行办法》(原卫生部令第4号)和《传统医学师承和确有专长人员医师资格考核考试办法》(原卫生部令第52号)有关规定。</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b/>
                      <w:bCs/>
                      <w:color w:val="000000"/>
                      <w:spacing w:val="-4"/>
                      <w:kern w:val="0"/>
                      <w:sz w:val="32"/>
                      <w:szCs w:val="32"/>
                    </w:rPr>
                    <w:t xml:space="preserve">　　第二条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试用机构是指符合《执业医师法》、《医疗机构管理条例》和《医疗机构管理条例实施细则》所规定的医疗、预防、保健机构。</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第三条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试用期考核证明</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proofErr w:type="gramStart"/>
                  <w:r w:rsidRPr="00166B82">
                    <w:rPr>
                      <w:rFonts w:ascii="仿宋_GB2312" w:eastAsia="仿宋_GB2312" w:hAnsi="宋体" w:cs="宋体" w:hint="eastAsia"/>
                      <w:color w:val="000000"/>
                      <w:spacing w:val="-4"/>
                      <w:kern w:val="0"/>
                      <w:sz w:val="32"/>
                      <w:szCs w:val="32"/>
                    </w:rPr>
                    <w:t>一</w:t>
                  </w:r>
                  <w:proofErr w:type="gramEnd"/>
                  <w:r w:rsidRPr="00166B82">
                    <w:rPr>
                      <w:rFonts w:ascii="仿宋_GB2312" w:eastAsia="仿宋_GB2312" w:hAnsi="宋体" w:cs="宋体" w:hint="eastAsia"/>
                      <w:color w:val="000000"/>
                      <w:spacing w:val="-4"/>
                      <w:kern w:val="0"/>
                      <w:sz w:val="32"/>
                      <w:szCs w:val="32"/>
                    </w:rPr>
                    <w:t>)报名时考生应当提交与报考类别相一致的试用期满1年并考核合格的证明。</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应届毕业生报名时应当提交试用机构出具的试用证明，并于当年8月31日前提交试用期满1年并考核合格的证明。</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考生报考时应当在与报考类别相一致的医疗、预防、保健机构试用时间或累计(含多个机构)试用时间</w:t>
                  </w:r>
                  <w:r w:rsidRPr="00166B82">
                    <w:rPr>
                      <w:rFonts w:ascii="仿宋_GB2312" w:eastAsia="仿宋_GB2312" w:hAnsi="宋体" w:cs="宋体" w:hint="eastAsia"/>
                      <w:color w:val="000000"/>
                      <w:spacing w:val="-4"/>
                      <w:kern w:val="0"/>
                      <w:sz w:val="32"/>
                      <w:szCs w:val="32"/>
                    </w:rPr>
                    <w:lastRenderedPageBreak/>
                    <w:t>满1年。</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(二)现役军人必须持所在军队医疗、预防、保健机构出具的试用期考核合格证明，方可报考。</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(三)试用期考核合格证明当年有效。</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第四条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报名有效身份证件</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proofErr w:type="gramStart"/>
                  <w:r w:rsidRPr="00166B82">
                    <w:rPr>
                      <w:rFonts w:ascii="仿宋_GB2312" w:eastAsia="仿宋_GB2312" w:hAnsi="宋体" w:cs="宋体" w:hint="eastAsia"/>
                      <w:color w:val="000000"/>
                      <w:spacing w:val="-4"/>
                      <w:kern w:val="0"/>
                      <w:sz w:val="32"/>
                      <w:szCs w:val="32"/>
                    </w:rPr>
                    <w:t>一</w:t>
                  </w:r>
                  <w:proofErr w:type="gramEnd"/>
                  <w:r w:rsidRPr="00166B82">
                    <w:rPr>
                      <w:rFonts w:ascii="仿宋_GB2312" w:eastAsia="仿宋_GB2312" w:hAnsi="宋体" w:cs="宋体" w:hint="eastAsia"/>
                      <w:color w:val="000000"/>
                      <w:spacing w:val="-4"/>
                      <w:kern w:val="0"/>
                      <w:sz w:val="32"/>
                      <w:szCs w:val="32"/>
                    </w:rPr>
                    <w:t>)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(二)外籍人员的有效身份证件为护照。</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第五条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报考类别</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proofErr w:type="gramStart"/>
                  <w:r w:rsidRPr="00166B82">
                    <w:rPr>
                      <w:rFonts w:ascii="仿宋_GB2312" w:eastAsia="仿宋_GB2312" w:hAnsi="宋体" w:cs="宋体" w:hint="eastAsia"/>
                      <w:color w:val="000000"/>
                      <w:spacing w:val="-4"/>
                      <w:kern w:val="0"/>
                      <w:sz w:val="32"/>
                      <w:szCs w:val="32"/>
                    </w:rPr>
                    <w:t>一</w:t>
                  </w:r>
                  <w:proofErr w:type="gramEnd"/>
                  <w:r w:rsidRPr="00166B82">
                    <w:rPr>
                      <w:rFonts w:ascii="仿宋_GB2312" w:eastAsia="仿宋_GB2312" w:hAnsi="宋体" w:cs="宋体" w:hint="eastAsia"/>
                      <w:color w:val="000000"/>
                      <w:spacing w:val="-4"/>
                      <w:kern w:val="0"/>
                      <w:sz w:val="32"/>
                      <w:szCs w:val="32"/>
                    </w:rPr>
                    <w:t>)执业助理医师达到报考执业医师规定的，可以报考执业医师资格，报考类别应当与执业助理医师资格类别一致。</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(二)报考相应类别的医师资格，应当具备与其相一致的医学学历。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具有临床医学专业本科学历，并在公共卫生岗位</w:t>
                  </w:r>
                  <w:r w:rsidRPr="00166B82">
                    <w:rPr>
                      <w:rFonts w:ascii="仿宋_GB2312" w:eastAsia="仿宋_GB2312" w:hAnsi="宋体" w:cs="宋体" w:hint="eastAsia"/>
                      <w:color w:val="000000"/>
                      <w:spacing w:val="-4"/>
                      <w:kern w:val="0"/>
                      <w:sz w:val="32"/>
                      <w:szCs w:val="32"/>
                    </w:rPr>
                    <w:lastRenderedPageBreak/>
                    <w:t>试用的，可以以该学历报考公共卫生类别医师资格。中医、中西医结合和民族</w:t>
                  </w:r>
                  <w:proofErr w:type="gramStart"/>
                  <w:r w:rsidRPr="00166B82">
                    <w:rPr>
                      <w:rFonts w:ascii="仿宋_GB2312" w:eastAsia="仿宋_GB2312" w:hAnsi="宋体" w:cs="宋体" w:hint="eastAsia"/>
                      <w:color w:val="000000"/>
                      <w:spacing w:val="-4"/>
                      <w:kern w:val="0"/>
                      <w:sz w:val="32"/>
                      <w:szCs w:val="32"/>
                    </w:rPr>
                    <w:t>医</w:t>
                  </w:r>
                  <w:proofErr w:type="gramEnd"/>
                  <w:r w:rsidRPr="00166B82">
                    <w:rPr>
                      <w:rFonts w:ascii="仿宋_GB2312" w:eastAsia="仿宋_GB2312" w:hAnsi="宋体" w:cs="宋体" w:hint="eastAsia"/>
                      <w:color w:val="000000"/>
                      <w:spacing w:val="-4"/>
                      <w:kern w:val="0"/>
                      <w:sz w:val="32"/>
                      <w:szCs w:val="32"/>
                    </w:rPr>
                    <w:t>医学专业毕业的报考人员，按照取得学历的医学专业报考中医类别相应的医师资格。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(三)符合报考执业医师资格条件的人员可以报考同类别的执业助理医师资格。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(四)在乡级以上计划生育技术服务机构中工作，符合《执业医师法》第九条、第十条规定条件的，可以报考相应类别医师资格。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第六条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学历审核</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学历的有效证明是指国家承认的毕业证书。基础医学类、法医学类、护理(学)类、医学技术类、药学类、中药学类等医学相关专业，其学历不作为报考医师资格的学历依据。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proofErr w:type="gramStart"/>
                  <w:r w:rsidRPr="00166B82">
                    <w:rPr>
                      <w:rFonts w:ascii="仿宋_GB2312" w:eastAsia="仿宋_GB2312" w:hAnsi="宋体" w:cs="宋体" w:hint="eastAsia"/>
                      <w:color w:val="000000"/>
                      <w:spacing w:val="-4"/>
                      <w:kern w:val="0"/>
                      <w:sz w:val="32"/>
                      <w:szCs w:val="32"/>
                    </w:rPr>
                    <w:t>一</w:t>
                  </w:r>
                  <w:proofErr w:type="gramEnd"/>
                  <w:r w:rsidRPr="00166B82">
                    <w:rPr>
                      <w:rFonts w:ascii="仿宋_GB2312" w:eastAsia="仿宋_GB2312" w:hAnsi="宋体" w:cs="宋体" w:hint="eastAsia"/>
                      <w:color w:val="000000"/>
                      <w:spacing w:val="-4"/>
                      <w:kern w:val="0"/>
                      <w:sz w:val="32"/>
                      <w:szCs w:val="32"/>
                    </w:rPr>
                    <w:t>)研究生学历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1.</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临床医学(含中医、中西医结合)、口腔医学、公共卫生专业学位研究生，在符合条件的医疗、预防、保健机构进行临床实践或公共卫生实践，</w:t>
                  </w:r>
                  <w:proofErr w:type="gramStart"/>
                  <w:r w:rsidRPr="00166B82">
                    <w:rPr>
                      <w:rFonts w:ascii="仿宋_GB2312" w:eastAsia="仿宋_GB2312" w:hAnsi="宋体" w:cs="宋体" w:hint="eastAsia"/>
                      <w:color w:val="000000"/>
                      <w:spacing w:val="-4"/>
                      <w:kern w:val="0"/>
                      <w:sz w:val="32"/>
                      <w:szCs w:val="32"/>
                    </w:rPr>
                    <w:t>至当次</w:t>
                  </w:r>
                  <w:proofErr w:type="gramEnd"/>
                  <w:r w:rsidRPr="00166B82">
                    <w:rPr>
                      <w:rFonts w:ascii="仿宋_GB2312" w:eastAsia="仿宋_GB2312" w:hAnsi="宋体" w:cs="宋体" w:hint="eastAsia"/>
                      <w:color w:val="000000"/>
                      <w:spacing w:val="-4"/>
                      <w:kern w:val="0"/>
                      <w:sz w:val="32"/>
                      <w:szCs w:val="32"/>
                    </w:rPr>
                    <w:t>医学综合笔试时累计实践时间满1年的，以符合条件的本</w:t>
                  </w:r>
                  <w:r w:rsidRPr="00166B82">
                    <w:rPr>
                      <w:rFonts w:ascii="仿宋_GB2312" w:eastAsia="仿宋_GB2312" w:hAnsi="宋体" w:cs="宋体" w:hint="eastAsia"/>
                      <w:color w:val="000000"/>
                      <w:spacing w:val="-4"/>
                      <w:kern w:val="0"/>
                      <w:sz w:val="32"/>
                      <w:szCs w:val="32"/>
                    </w:rPr>
                    <w:lastRenderedPageBreak/>
                    <w:t>科学历和专业，于在学期间报考相应类别医师资格。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临床医学、口腔医学、中医学、中西医结合临床医学、眼视光医学、预防医学长学制学生在学期间已完成1年临床或公共卫生毕业实习和1年以上临床或公共卫生实践的，以本科学历报考相应类别医师资格。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临床医学(含中医、中西医结合)、口腔医学、公共卫生专业学位研究生学历，作为报考相应类别医师资格的学历依据。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在研究生毕业当年以研究生学历报考者，须在当年8月31日前提交研究生毕业证书，并提供学位证书等材料，证明是专业学位研究生学历，方可参加医学综合笔试。</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lastRenderedPageBreak/>
                    <w:t xml:space="preserve">　　2015年1月1日以后入学的学术学位研究生，其研究生学历不作为报考各类别医师资格的学历依据。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4.</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临床医学(护理学)学术学位研究生学历，或临床医学(护理领域)专业学位研究生学历，不作为报考各类别医师资格的学历依据。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(二)本科学历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1.</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五年制的口腔医学专业本科学历，作为报考口腔类别执业医师资格考试的学历依据。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3.</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五年制预防医学、妇幼保健医学专业本科学历，作为报考公共卫生类别执业医师资格考试的学历依据。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4.</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五年及以上学制中医学、针灸推拿学、中西医临床医学、藏医学、蒙医学、维医学、傣医学、壮</w:t>
                  </w:r>
                  <w:r w:rsidRPr="00166B82">
                    <w:rPr>
                      <w:rFonts w:ascii="仿宋_GB2312" w:eastAsia="仿宋_GB2312" w:hAnsi="宋体" w:cs="宋体" w:hint="eastAsia"/>
                      <w:color w:val="000000"/>
                      <w:spacing w:val="-4"/>
                      <w:kern w:val="0"/>
                      <w:sz w:val="32"/>
                      <w:szCs w:val="32"/>
                    </w:rPr>
                    <w:lastRenderedPageBreak/>
                    <w:t>医学、哈萨克医学专业本科学历，作为报考中医类别相应执业医师资格考试的学历依据。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6.</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专升本医学本科毕业生，2015年9月1日以后升入本科的，其专业必须与专科专业相同或相近，其本科学历方可作为报考医师资格的学历依据。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(三)高职(专科)学历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1. 2005年1月1日以后入学的经教育部同意设置的临床医学类专业(含临床医学、口腔医学、中医学、中医骨伤、针灸推拿、蒙医学、藏医学、维医学等)毕业生，其专科学历作为报考医师资格的学历依据。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2004年12月31日以前入学的经省级教育、卫生行政部门(中医药管理部门)批准设置的医学类专业(参照同期本科专业名称)毕业生，其专科学历作为报考医师资格的学历依据。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lastRenderedPageBreak/>
                    <w:t xml:space="preserve">　　2.</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3. 2008年12月31日以前入学的中西医结合专业(含教育部、原卫生部批准试办的初中起点5年制专科层次中西医临床医学专业)毕业生，其专科学历作为报考医师资格的学历依据。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2009年1月1日以后入学的中西医结合专业毕业生(含初中起点5年制专科层次中西医临床医学专业)，其专科学历不作为报考医师资格的学历依据。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(四)中职(中专)学历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lastRenderedPageBreak/>
                    <w:t xml:space="preserve">　　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2011年1月1日以后入学的中等职业学校毕业生，除农村医学专业外，其他专业的中职(中专)学历不作为报考临床类别执业助理医师资格的学历依据。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3. 2001年8月31日以前入学的中等职业学校(中等专业学校)社区医学、预防医学、妇幼卫生、医学影像诊断、口腔医学专业毕业生，其中职(中专)学历作为报考相应类别执业助理医师资格的学历依据。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2001年9月1日以后入学的上述专业毕业生，其</w:t>
                  </w:r>
                  <w:r w:rsidRPr="00166B82">
                    <w:rPr>
                      <w:rFonts w:ascii="仿宋_GB2312" w:eastAsia="仿宋_GB2312" w:hAnsi="宋体" w:cs="宋体" w:hint="eastAsia"/>
                      <w:color w:val="000000"/>
                      <w:spacing w:val="-4"/>
                      <w:kern w:val="0"/>
                      <w:sz w:val="32"/>
                      <w:szCs w:val="32"/>
                    </w:rPr>
                    <w:lastRenderedPageBreak/>
                    <w:t>中职(中专)学历不作为报考医师资格的学历依据。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4. 2006年12月31日以前入学的中等职业学校中西医结合专业毕业生，其中职(中专)学历作为报考中医类别中西医结合医师资格的学历依据。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2007年1月1日以后入学的中西医结合专业毕业生，其中职(中专)学历不作为报考医师资格的学历依据。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5. 2006年12月31日以前入学的中等职业学校(中等专业学校)中医、民族</w:t>
                  </w:r>
                  <w:proofErr w:type="gramStart"/>
                  <w:r w:rsidRPr="00166B82">
                    <w:rPr>
                      <w:rFonts w:ascii="仿宋_GB2312" w:eastAsia="仿宋_GB2312" w:hAnsi="宋体" w:cs="宋体" w:hint="eastAsia"/>
                      <w:color w:val="000000"/>
                      <w:spacing w:val="-4"/>
                      <w:kern w:val="0"/>
                      <w:sz w:val="32"/>
                      <w:szCs w:val="32"/>
                    </w:rPr>
                    <w:t>医</w:t>
                  </w:r>
                  <w:proofErr w:type="gramEnd"/>
                  <w:r w:rsidRPr="00166B82">
                    <w:rPr>
                      <w:rFonts w:ascii="仿宋_GB2312" w:eastAsia="仿宋_GB2312" w:hAnsi="宋体" w:cs="宋体" w:hint="eastAsia"/>
                      <w:color w:val="000000"/>
                      <w:spacing w:val="-4"/>
                      <w:kern w:val="0"/>
                      <w:sz w:val="32"/>
                      <w:szCs w:val="32"/>
                    </w:rPr>
                    <w:t>类专业毕业生，其中职(中专)学历作为报考中医类别相应医师资格的学历依据。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2007年1月1日以后入学经教育部、国家中医药管理局备案的中等职业学校(中等专业学校)中医、民族</w:t>
                  </w:r>
                  <w:proofErr w:type="gramStart"/>
                  <w:r w:rsidRPr="00166B82">
                    <w:rPr>
                      <w:rFonts w:ascii="仿宋_GB2312" w:eastAsia="仿宋_GB2312" w:hAnsi="宋体" w:cs="宋体" w:hint="eastAsia"/>
                      <w:color w:val="000000"/>
                      <w:spacing w:val="-4"/>
                      <w:kern w:val="0"/>
                      <w:sz w:val="32"/>
                      <w:szCs w:val="32"/>
                    </w:rPr>
                    <w:t>医</w:t>
                  </w:r>
                  <w:proofErr w:type="gramEnd"/>
                  <w:r w:rsidRPr="00166B82">
                    <w:rPr>
                      <w:rFonts w:ascii="仿宋_GB2312" w:eastAsia="仿宋_GB2312" w:hAnsi="宋体" w:cs="宋体" w:hint="eastAsia"/>
                      <w:color w:val="000000"/>
                      <w:spacing w:val="-4"/>
                      <w:kern w:val="0"/>
                      <w:sz w:val="32"/>
                      <w:szCs w:val="32"/>
                    </w:rPr>
                    <w:t>类专业毕业生，其中职(中专)学历作为报考中医类别相应医师资格的学历依据。2011年1月1日以后入学的中等中医类专业毕业生，取得资格后限定到基层医疗机构执业。</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6.</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卫生职业高中学历不作为报考医师资格的学历依据。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7. 1999年1月1日以后入学的卫生职工中等专业</w:t>
                  </w:r>
                  <w:r w:rsidRPr="00166B82">
                    <w:rPr>
                      <w:rFonts w:ascii="仿宋_GB2312" w:eastAsia="仿宋_GB2312" w:hAnsi="宋体" w:cs="宋体" w:hint="eastAsia"/>
                      <w:color w:val="000000"/>
                      <w:spacing w:val="-4"/>
                      <w:kern w:val="0"/>
                      <w:sz w:val="32"/>
                      <w:szCs w:val="32"/>
                    </w:rPr>
                    <w:lastRenderedPageBreak/>
                    <w:t>学校学历不作为报考医师资格的学历依据。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(五)成人教育学历</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1. 2002年10月31日以前入学的成人高等教育、自学考试、各类高等学校远程教育的医学类专业毕业生，该学历作为报考相应类别的医师资格的学历依据。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2.2001年8月31日以前入学的成人中专医学类专业毕业生，其成人中专学历作为报考医师资格的学历依据。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2001年9月1日以后入学的成人中专医学类专业毕业生，其成人中专学历不作为报考医师资格的学历依据。</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(六)西医学习中医人员</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lastRenderedPageBreak/>
                    <w:t xml:space="preserve">　　已获得</w:t>
                  </w:r>
                  <w:hyperlink r:id="rId5" w:tgtFrame="_blank" w:history="1">
                    <w:r w:rsidRPr="00166B82">
                      <w:rPr>
                        <w:rFonts w:ascii="仿宋_GB2312" w:eastAsia="仿宋_GB2312" w:hAnsi="宋体" w:cs="宋体" w:hint="eastAsia"/>
                        <w:color w:val="000000"/>
                        <w:spacing w:val="-4"/>
                        <w:kern w:val="0"/>
                        <w:sz w:val="32"/>
                        <w:szCs w:val="32"/>
                      </w:rPr>
                      <w:t>临床执业医师</w:t>
                    </w:r>
                  </w:hyperlink>
                  <w:r w:rsidRPr="00166B82">
                    <w:rPr>
                      <w:rFonts w:ascii="仿宋_GB2312" w:eastAsia="仿宋_GB2312" w:hAnsi="宋体" w:cs="宋体" w:hint="eastAsia"/>
                      <w:color w:val="000000"/>
                      <w:spacing w:val="-4"/>
                      <w:kern w:val="0"/>
                      <w:sz w:val="32"/>
                      <w:szCs w:val="32"/>
                    </w:rPr>
                    <w:t>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w:t>
                  </w:r>
                  <w:proofErr w:type="gramStart"/>
                  <w:r w:rsidRPr="00166B82">
                    <w:rPr>
                      <w:rFonts w:ascii="仿宋_GB2312" w:eastAsia="仿宋_GB2312" w:hAnsi="宋体" w:cs="宋体" w:hint="eastAsia"/>
                      <w:color w:val="000000"/>
                      <w:spacing w:val="-4"/>
                      <w:kern w:val="0"/>
                      <w:sz w:val="32"/>
                      <w:szCs w:val="32"/>
                    </w:rPr>
                    <w:t>师学习满</w:t>
                  </w:r>
                  <w:proofErr w:type="gramEnd"/>
                  <w:r w:rsidRPr="00166B82">
                    <w:rPr>
                      <w:rFonts w:ascii="仿宋_GB2312" w:eastAsia="仿宋_GB2312" w:hAnsi="宋体" w:cs="宋体" w:hint="eastAsia"/>
                      <w:color w:val="000000"/>
                      <w:spacing w:val="-4"/>
                      <w:kern w:val="0"/>
                      <w:sz w:val="32"/>
                      <w:szCs w:val="32"/>
                    </w:rPr>
                    <w:t>3年并取得《传统医学师承出师证书》的，可以申请参加相同级别的中西医结合执业医师或执业助理医师资格考试。</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(七)传统医学师承和确有专长人员</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1.传统医学师承和确有专长人员申请参加医师资格考试应符合《传统医学师承和确有专长人员医师资格考核考试办法》第二十七条、二十八条有关规定。</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(八)其他</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lastRenderedPageBreak/>
                    <w:t xml:space="preserve">　　取得国外医学学历学位的中国大陆居民，其学历学位证书须经教育部留学服务中心认证，同时符合《执业医师法》及其有关文件规定的，可以按照本规定报考。</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 xml:space="preserve">　第七条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台湾、香港、澳门永久性居民以及外籍人员报考的，按照有关文件规定执行。</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第八条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盲人医疗按摩人员按照《盲人医疗按摩管理办法》(卫</w:t>
                  </w:r>
                  <w:proofErr w:type="gramStart"/>
                  <w:r w:rsidRPr="00166B82">
                    <w:rPr>
                      <w:rFonts w:ascii="仿宋_GB2312" w:eastAsia="仿宋_GB2312" w:hAnsi="宋体" w:cs="宋体" w:hint="eastAsia"/>
                      <w:color w:val="000000"/>
                      <w:spacing w:val="-4"/>
                      <w:kern w:val="0"/>
                      <w:sz w:val="32"/>
                      <w:szCs w:val="32"/>
                    </w:rPr>
                    <w:t>医</w:t>
                  </w:r>
                  <w:proofErr w:type="gramEnd"/>
                  <w:r w:rsidRPr="00166B82">
                    <w:rPr>
                      <w:rFonts w:ascii="仿宋_GB2312" w:eastAsia="仿宋_GB2312" w:hAnsi="宋体" w:cs="宋体" w:hint="eastAsia"/>
                      <w:color w:val="000000"/>
                      <w:spacing w:val="-4"/>
                      <w:kern w:val="0"/>
                      <w:sz w:val="32"/>
                      <w:szCs w:val="32"/>
                    </w:rPr>
                    <w:t>政发〔2009〕37号)规定，参加盲人医疗按摩人员考试。</w:t>
                  </w:r>
                </w:p>
                <w:p w:rsidR="00166B82" w:rsidRPr="00166B82" w:rsidRDefault="00166B82" w:rsidP="00166B82">
                  <w:pPr>
                    <w:widowControl/>
                    <w:spacing w:before="100" w:beforeAutospacing="1" w:after="100" w:afterAutospacing="1" w:line="330" w:lineRule="atLeast"/>
                    <w:jc w:val="left"/>
                    <w:rPr>
                      <w:rFonts w:ascii="宋体" w:eastAsia="宋体" w:hAnsi="宋体" w:cs="宋体"/>
                      <w:color w:val="000000"/>
                      <w:spacing w:val="-4"/>
                      <w:kern w:val="0"/>
                      <w:sz w:val="24"/>
                      <w:szCs w:val="24"/>
                    </w:rPr>
                  </w:pPr>
                  <w:r w:rsidRPr="00166B82">
                    <w:rPr>
                      <w:rFonts w:ascii="仿宋_GB2312" w:eastAsia="仿宋_GB2312" w:hAnsi="宋体" w:cs="宋体" w:hint="eastAsia"/>
                      <w:color w:val="000000"/>
                      <w:spacing w:val="-4"/>
                      <w:kern w:val="0"/>
                      <w:sz w:val="32"/>
                      <w:szCs w:val="32"/>
                    </w:rPr>
                    <w:t xml:space="preserve">　　</w:t>
                  </w:r>
                  <w:r w:rsidRPr="00166B82">
                    <w:rPr>
                      <w:rFonts w:ascii="仿宋_GB2312" w:eastAsia="仿宋_GB2312" w:hAnsi="宋体" w:cs="宋体" w:hint="eastAsia"/>
                      <w:b/>
                      <w:bCs/>
                      <w:color w:val="000000"/>
                      <w:spacing w:val="-4"/>
                      <w:kern w:val="0"/>
                      <w:sz w:val="32"/>
                      <w:szCs w:val="32"/>
                    </w:rPr>
                    <w:t>第九条</w:t>
                  </w:r>
                  <w:r w:rsidRPr="00166B82">
                    <w:rPr>
                      <w:rFonts w:ascii="仿宋_GB2312" w:eastAsia="仿宋_GB2312" w:hAnsi="宋体" w:cs="宋体" w:hint="eastAsia"/>
                      <w:color w:val="000000"/>
                      <w:spacing w:val="-4"/>
                      <w:kern w:val="0"/>
                      <w:sz w:val="32"/>
                      <w:szCs w:val="32"/>
                    </w:rPr>
                    <w:t> </w:t>
                  </w:r>
                  <w:r w:rsidRPr="00166B82">
                    <w:rPr>
                      <w:rFonts w:ascii="仿宋_GB2312" w:eastAsia="仿宋_GB2312" w:hAnsi="宋体" w:cs="宋体" w:hint="eastAsia"/>
                      <w:color w:val="000000"/>
                      <w:spacing w:val="-4"/>
                      <w:kern w:val="0"/>
                      <w:sz w:val="32"/>
                      <w:szCs w:val="32"/>
                    </w:rPr>
                    <w:t>本规定自公布之日起施行。《医师资格考试报名资格规定(2006版)》和《关于修订〈医师资格考试报名资格规定(2006版)〉有关条款的通知》(卫办医发〔2008〕64号)同时废止。</w:t>
                  </w:r>
                </w:p>
              </w:tc>
            </w:tr>
          </w:tbl>
          <w:p w:rsidR="00166B82" w:rsidRPr="00166B82" w:rsidRDefault="00166B82" w:rsidP="00166B82">
            <w:pPr>
              <w:widowControl/>
              <w:jc w:val="left"/>
              <w:rPr>
                <w:rFonts w:ascii="Simsun" w:eastAsia="宋体" w:hAnsi="Simsun" w:cs="宋体"/>
                <w:color w:val="000000"/>
                <w:kern w:val="0"/>
                <w:sz w:val="27"/>
                <w:szCs w:val="27"/>
              </w:rPr>
            </w:pPr>
          </w:p>
        </w:tc>
      </w:tr>
      <w:tr w:rsidR="00166B82" w:rsidRPr="00166B82" w:rsidTr="00166B82">
        <w:trPr>
          <w:trHeight w:val="450"/>
          <w:tblCellSpacing w:w="0" w:type="dxa"/>
          <w:jc w:val="center"/>
        </w:trPr>
        <w:tc>
          <w:tcPr>
            <w:tcW w:w="0" w:type="auto"/>
            <w:shd w:val="clear" w:color="auto" w:fill="FFFFFF"/>
            <w:vAlign w:val="center"/>
            <w:hideMark/>
          </w:tcPr>
          <w:p w:rsidR="00166B82" w:rsidRPr="00166B82" w:rsidRDefault="00166B82" w:rsidP="00166B82">
            <w:pPr>
              <w:widowControl/>
              <w:jc w:val="center"/>
              <w:rPr>
                <w:rFonts w:ascii="Simsun" w:eastAsia="宋体" w:hAnsi="Simsun" w:cs="宋体"/>
                <w:color w:val="000000"/>
                <w:kern w:val="0"/>
                <w:sz w:val="27"/>
                <w:szCs w:val="27"/>
              </w:rPr>
            </w:pPr>
          </w:p>
        </w:tc>
      </w:tr>
      <w:tr w:rsidR="00166B82" w:rsidRPr="00166B82" w:rsidTr="00166B82">
        <w:trPr>
          <w:tblCellSpacing w:w="0" w:type="dxa"/>
          <w:jc w:val="center"/>
        </w:trPr>
        <w:tc>
          <w:tcPr>
            <w:tcW w:w="0" w:type="auto"/>
            <w:shd w:val="clear" w:color="auto" w:fill="FFFFFF"/>
            <w:vAlign w:val="center"/>
            <w:hideMark/>
          </w:tcPr>
          <w:p w:rsidR="00166B82" w:rsidRPr="00166B82" w:rsidRDefault="00166B82" w:rsidP="00166B82">
            <w:pPr>
              <w:widowControl/>
              <w:jc w:val="left"/>
              <w:rPr>
                <w:rFonts w:ascii="Simsun" w:eastAsia="宋体" w:hAnsi="Simsun" w:cs="宋体"/>
                <w:color w:val="000000"/>
                <w:kern w:val="0"/>
                <w:sz w:val="27"/>
                <w:szCs w:val="27"/>
              </w:rPr>
            </w:pPr>
          </w:p>
        </w:tc>
      </w:tr>
    </w:tbl>
    <w:p w:rsidR="001E47A6" w:rsidRPr="00166B82" w:rsidRDefault="00166B82">
      <w:pPr>
        <w:rPr>
          <w:rFonts w:hint="eastAsia"/>
        </w:rPr>
      </w:pPr>
      <w:bookmarkStart w:id="0" w:name="_GoBack"/>
      <w:bookmarkEnd w:id="0"/>
    </w:p>
    <w:sectPr w:rsidR="001E47A6" w:rsidRPr="00166B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B82"/>
    <w:rsid w:val="00166B82"/>
    <w:rsid w:val="003D781F"/>
    <w:rsid w:val="009F05F2"/>
    <w:rsid w:val="00C47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6B82"/>
  </w:style>
  <w:style w:type="character" w:styleId="a3">
    <w:name w:val="Hyperlink"/>
    <w:basedOn w:val="a0"/>
    <w:uiPriority w:val="99"/>
    <w:semiHidden/>
    <w:unhideWhenUsed/>
    <w:rsid w:val="00166B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6B82"/>
  </w:style>
  <w:style w:type="character" w:styleId="a3">
    <w:name w:val="Hyperlink"/>
    <w:basedOn w:val="a0"/>
    <w:uiPriority w:val="99"/>
    <w:semiHidden/>
    <w:unhideWhenUsed/>
    <w:rsid w:val="00166B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5012">
      <w:bodyDiv w:val="1"/>
      <w:marLeft w:val="0"/>
      <w:marRight w:val="0"/>
      <w:marTop w:val="0"/>
      <w:marBottom w:val="0"/>
      <w:divBdr>
        <w:top w:val="none" w:sz="0" w:space="0" w:color="auto"/>
        <w:left w:val="none" w:sz="0" w:space="0" w:color="auto"/>
        <w:bottom w:val="none" w:sz="0" w:space="0" w:color="auto"/>
        <w:right w:val="none" w:sz="0" w:space="0" w:color="auto"/>
      </w:divBdr>
      <w:divsChild>
        <w:div w:id="404182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du24ol.com/leraning/class_lczyy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729</Words>
  <Characters>4156</Characters>
  <Application>Microsoft Office Word</Application>
  <DocSecurity>0</DocSecurity>
  <Lines>34</Lines>
  <Paragraphs>9</Paragraphs>
  <ScaleCrop>false</ScaleCrop>
  <Company>Microsoft</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1</cp:revision>
  <dcterms:created xsi:type="dcterms:W3CDTF">2017-09-26T08:07:00Z</dcterms:created>
  <dcterms:modified xsi:type="dcterms:W3CDTF">2017-09-26T08:08:00Z</dcterms:modified>
</cp:coreProperties>
</file>