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仿宋" w:eastAsia="方正小标宋简体" w:cs="宋体"/>
          <w:color w:val="000000"/>
          <w:kern w:val="0"/>
          <w:sz w:val="32"/>
          <w:szCs w:val="20"/>
          <w:lang w:eastAsia="zh-CN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20"/>
          <w:lang w:eastAsia="zh-CN"/>
        </w:rPr>
        <w:t>附件</w:t>
      </w:r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20"/>
          <w:lang w:val="en-US" w:eastAsia="zh-CN"/>
        </w:rPr>
        <w:t>3：</w:t>
      </w:r>
      <w:bookmarkStart w:id="0" w:name="_GoBack"/>
      <w:bookmarkEnd w:id="0"/>
    </w:p>
    <w:p>
      <w:pPr>
        <w:jc w:val="center"/>
        <w:rPr>
          <w:rFonts w:ascii="方正小标宋简体" w:hAnsi="仿宋" w:eastAsia="方正小标宋简体" w:cs="宋体"/>
          <w:color w:val="000000"/>
          <w:kern w:val="0"/>
          <w:sz w:val="32"/>
          <w:szCs w:val="20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20"/>
        </w:rPr>
        <w:t>四川文理学院高层次人才引进待遇标准</w:t>
      </w:r>
    </w:p>
    <w:tbl>
      <w:tblPr>
        <w:tblStyle w:val="4"/>
        <w:tblW w:w="148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5235"/>
        <w:gridCol w:w="1127"/>
        <w:gridCol w:w="964"/>
        <w:gridCol w:w="2909"/>
        <w:gridCol w:w="1863"/>
        <w:gridCol w:w="2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999" w:type="dxa"/>
            <w:gridSpan w:val="2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人才类型</w:t>
            </w:r>
          </w:p>
        </w:tc>
        <w:tc>
          <w:tcPr>
            <w:tcW w:w="8881" w:type="dxa"/>
            <w:gridSpan w:val="5"/>
            <w:vAlign w:val="top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引进待遇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999" w:type="dxa"/>
            <w:gridSpan w:val="2"/>
            <w:vMerge w:val="continue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引进费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租房补贴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校内特殊津贴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工资待遇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</w:trPr>
        <w:tc>
          <w:tcPr>
            <w:tcW w:w="764" w:type="dxa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第一类</w:t>
            </w:r>
          </w:p>
        </w:tc>
        <w:tc>
          <w:tcPr>
            <w:tcW w:w="5235" w:type="dxa"/>
            <w:vAlign w:val="top"/>
          </w:tcPr>
          <w:p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国家杰出青年科学基金获得者、享受国务院政府特殊津贴专家、全国高校教学名师、“国家高层次人才特殊支持计划”（简称“国家特支计划”，也称“万人计划”）入选者、“海外高层次人才引进计划”（简称“千人计划”）入选者、“长江学者奖励计划”入选者、“国家百千万人才工程”入选者、省级学术和技术带头人、学校急需学科领域的省部级有突出贡献的优秀专家；</w:t>
            </w:r>
          </w:p>
          <w:p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国家自然（社会）科学基金重点项目主持人、国家自然科学基金创新研究群体项目主持人、获得国家科技奖各等次奖的项目主持人、国家级重点学科负责人、国家级科研平台负责人、“2011协同创新中心”负责人、教育部创新团队负责人；</w:t>
            </w:r>
          </w:p>
          <w:p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3.省部级科技进步奖或哲社优秀成果奖一等奖主持人；或与上述人员水平相当者。</w:t>
            </w:r>
          </w:p>
          <w:p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4.以上人才均应为教授，引进年龄原则上在 55 岁以下。</w:t>
            </w:r>
          </w:p>
        </w:tc>
        <w:tc>
          <w:tcPr>
            <w:tcW w:w="1127" w:type="dxa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50-100万元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8万元</w:t>
            </w:r>
          </w:p>
        </w:tc>
        <w:tc>
          <w:tcPr>
            <w:tcW w:w="2909" w:type="dxa"/>
            <w:vMerge w:val="restart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1.博士学位人员 1000 元/月；</w:t>
            </w:r>
          </w:p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2.正高级专业技术职务人员 1200 元/月；</w:t>
            </w:r>
          </w:p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3.第三类高层次人才 1300 元/月；</w:t>
            </w:r>
          </w:p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4.第二类高层次人才 1500 元/月；</w:t>
            </w:r>
          </w:p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5.第一类高层次人才 1800 元/月。</w:t>
            </w:r>
          </w:p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863" w:type="dxa"/>
            <w:vMerge w:val="restart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1.享受我校同等条件工作人员相应的工资等有关福利待遇；</w:t>
            </w:r>
          </w:p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2.具有高级专业技术职务人员享受我校所聘岗位等级的校内绩效工资；</w:t>
            </w:r>
          </w:p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3.博士享受我校七级副教授校内绩效工资。</w:t>
            </w:r>
          </w:p>
        </w:tc>
        <w:tc>
          <w:tcPr>
            <w:tcW w:w="2018" w:type="dxa"/>
            <w:vMerge w:val="restart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1.酌情解决配偶工作问题；</w:t>
            </w:r>
          </w:p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2.协助解决子女入学问题；</w:t>
            </w:r>
          </w:p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3.引进费和租房补贴均为税后待遇。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764" w:type="dxa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第二类</w:t>
            </w:r>
          </w:p>
        </w:tc>
        <w:tc>
          <w:tcPr>
            <w:tcW w:w="5235" w:type="dxa"/>
            <w:vAlign w:val="top"/>
          </w:tcPr>
          <w:p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1.教育部“高校青年教师奖”获得者、教育部“新世纪优秀人才支持计划”入选者、省级高校教学名师、省级学术和技术带头人后备人选；</w:t>
            </w:r>
          </w:p>
          <w:p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2.国家自然（社会）科学基金重点项目主持人；省部级科技进步奖或哲社优秀成果奖二等奖主持人；或与上述人员水平相当者。</w:t>
            </w:r>
          </w:p>
          <w:p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3.以上人才均应为教授，引进年龄原则上在50 岁以下。</w:t>
            </w:r>
          </w:p>
        </w:tc>
        <w:tc>
          <w:tcPr>
            <w:tcW w:w="1127" w:type="dxa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45-50万元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sz w:val="28"/>
              </w:rPr>
            </w:pPr>
            <w:r>
              <w:rPr>
                <w:rFonts w:hint="eastAsia"/>
                <w:sz w:val="15"/>
                <w:szCs w:val="15"/>
              </w:rPr>
              <w:t>8万元</w:t>
            </w:r>
          </w:p>
        </w:tc>
        <w:tc>
          <w:tcPr>
            <w:tcW w:w="2909" w:type="dxa"/>
            <w:vMerge w:val="continue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863" w:type="dxa"/>
            <w:vMerge w:val="continue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vMerge w:val="continue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64" w:type="dxa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第三类</w:t>
            </w:r>
          </w:p>
        </w:tc>
        <w:tc>
          <w:tcPr>
            <w:tcW w:w="5235" w:type="dxa"/>
            <w:vAlign w:val="top"/>
          </w:tcPr>
          <w:p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1.教育部“优秀青年教师资助计划”、“高等学校骨干教师资助计划”获资助者；</w:t>
            </w:r>
          </w:p>
          <w:p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2.国家自然（社会）科学基金项目主持人；或与上述人员水平相当者。</w:t>
            </w:r>
          </w:p>
          <w:p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3.以上人才均应为教授，引进年龄原则上在 50 岁以下。</w:t>
            </w:r>
          </w:p>
        </w:tc>
        <w:tc>
          <w:tcPr>
            <w:tcW w:w="1127" w:type="dxa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35-45万元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sz w:val="28"/>
              </w:rPr>
            </w:pPr>
            <w:r>
              <w:rPr>
                <w:rFonts w:hint="eastAsia"/>
                <w:sz w:val="15"/>
                <w:szCs w:val="15"/>
              </w:rPr>
              <w:t>6万元</w:t>
            </w:r>
          </w:p>
        </w:tc>
        <w:tc>
          <w:tcPr>
            <w:tcW w:w="2909" w:type="dxa"/>
            <w:vMerge w:val="continue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863" w:type="dxa"/>
            <w:vMerge w:val="continue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vMerge w:val="continue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64" w:type="dxa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第四类</w:t>
            </w:r>
          </w:p>
        </w:tc>
        <w:tc>
          <w:tcPr>
            <w:tcW w:w="5235" w:type="dxa"/>
            <w:vAlign w:val="top"/>
          </w:tcPr>
          <w:p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同时具有教授（或相当专业技术职务）职务和博士研究生学历并获得博士学位者，年龄原则上在 50 岁以下。</w:t>
            </w:r>
          </w:p>
        </w:tc>
        <w:tc>
          <w:tcPr>
            <w:tcW w:w="1127" w:type="dxa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30-35万元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sz w:val="28"/>
              </w:rPr>
            </w:pPr>
            <w:r>
              <w:rPr>
                <w:rFonts w:hint="eastAsia"/>
                <w:sz w:val="15"/>
                <w:szCs w:val="15"/>
              </w:rPr>
              <w:t>6万元</w:t>
            </w:r>
          </w:p>
        </w:tc>
        <w:tc>
          <w:tcPr>
            <w:tcW w:w="2909" w:type="dxa"/>
            <w:vMerge w:val="continue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863" w:type="dxa"/>
            <w:vMerge w:val="continue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vMerge w:val="continue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64" w:type="dxa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第五类</w:t>
            </w:r>
          </w:p>
        </w:tc>
        <w:tc>
          <w:tcPr>
            <w:tcW w:w="5235" w:type="dxa"/>
            <w:vAlign w:val="top"/>
          </w:tcPr>
          <w:p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具有教授（或相当专业技术职务）者，年龄原则上在 50 岁以下。</w:t>
            </w:r>
          </w:p>
        </w:tc>
        <w:tc>
          <w:tcPr>
            <w:tcW w:w="1127" w:type="dxa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25-30万元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sz w:val="28"/>
              </w:rPr>
            </w:pPr>
            <w:r>
              <w:rPr>
                <w:rFonts w:hint="eastAsia"/>
                <w:sz w:val="15"/>
                <w:szCs w:val="15"/>
              </w:rPr>
              <w:t>6万元</w:t>
            </w:r>
          </w:p>
        </w:tc>
        <w:tc>
          <w:tcPr>
            <w:tcW w:w="2909" w:type="dxa"/>
            <w:vMerge w:val="continue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863" w:type="dxa"/>
            <w:vMerge w:val="continue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vMerge w:val="continue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64" w:type="dxa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第六类</w:t>
            </w:r>
          </w:p>
        </w:tc>
        <w:tc>
          <w:tcPr>
            <w:tcW w:w="5235" w:type="dxa"/>
            <w:vAlign w:val="top"/>
          </w:tcPr>
          <w:p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同时具有副教授（或相当专业技术职务）职务和博士研究生学历并获得博士学位者，年龄原则上在 50 岁以下。</w:t>
            </w:r>
          </w:p>
        </w:tc>
        <w:tc>
          <w:tcPr>
            <w:tcW w:w="1127" w:type="dxa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15-30万元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sz w:val="28"/>
              </w:rPr>
            </w:pPr>
            <w:r>
              <w:rPr>
                <w:rFonts w:hint="eastAsia"/>
                <w:sz w:val="15"/>
                <w:szCs w:val="15"/>
              </w:rPr>
              <w:t>3万元</w:t>
            </w:r>
          </w:p>
        </w:tc>
        <w:tc>
          <w:tcPr>
            <w:tcW w:w="2909" w:type="dxa"/>
            <w:vMerge w:val="continue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863" w:type="dxa"/>
            <w:vMerge w:val="continue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vMerge w:val="continue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64" w:type="dxa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第七类</w:t>
            </w:r>
          </w:p>
        </w:tc>
        <w:tc>
          <w:tcPr>
            <w:tcW w:w="5235" w:type="dxa"/>
            <w:vAlign w:val="top"/>
          </w:tcPr>
          <w:p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紧缺专业的博士研究生学历并获得博士学位者，年龄原则上在 40 岁以下。</w:t>
            </w:r>
          </w:p>
        </w:tc>
        <w:tc>
          <w:tcPr>
            <w:tcW w:w="1127" w:type="dxa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15-30万元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sz w:val="28"/>
              </w:rPr>
            </w:pPr>
            <w:r>
              <w:rPr>
                <w:rFonts w:hint="eastAsia"/>
                <w:sz w:val="15"/>
                <w:szCs w:val="15"/>
              </w:rPr>
              <w:t>3万元</w:t>
            </w:r>
          </w:p>
        </w:tc>
        <w:tc>
          <w:tcPr>
            <w:tcW w:w="2909" w:type="dxa"/>
            <w:vMerge w:val="continue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863" w:type="dxa"/>
            <w:vMerge w:val="continue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vMerge w:val="continue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64" w:type="dxa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第八类</w:t>
            </w:r>
          </w:p>
        </w:tc>
        <w:tc>
          <w:tcPr>
            <w:tcW w:w="5235" w:type="dxa"/>
            <w:vAlign w:val="top"/>
          </w:tcPr>
          <w:p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非紧缺专业的博士研究生学历并获得博士学位者，年龄原则上在 40 岁以下。</w:t>
            </w:r>
          </w:p>
        </w:tc>
        <w:tc>
          <w:tcPr>
            <w:tcW w:w="1127" w:type="dxa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10-20万元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sz w:val="28"/>
              </w:rPr>
            </w:pPr>
            <w:r>
              <w:rPr>
                <w:rFonts w:hint="eastAsia"/>
                <w:sz w:val="15"/>
                <w:szCs w:val="15"/>
              </w:rPr>
              <w:t>3万元</w:t>
            </w:r>
          </w:p>
        </w:tc>
        <w:tc>
          <w:tcPr>
            <w:tcW w:w="2909" w:type="dxa"/>
            <w:vMerge w:val="continue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863" w:type="dxa"/>
            <w:vMerge w:val="continue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vMerge w:val="continue"/>
            <w:vAlign w:val="top"/>
          </w:tcPr>
          <w:p>
            <w:pPr>
              <w:rPr>
                <w:sz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83EF4"/>
    <w:rsid w:val="44883E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2017-10-13T04:01:00Z</dcterms:created>
  <dc:creator>Administrator</dc:creator>
  <cp:lastModifiedBy>Administrator</cp:lastModifiedBy>
  <dcterms:modified xsi:type="dcterms:W3CDTF">2017-10-13T04:04:20Z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