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590" w:lineRule="exact"/>
        <w:rPr>
          <w:rFonts w:hint="eastAsia" w:ascii="黑体" w:hAnsi="黑体" w:eastAsia="黑体"/>
          <w:bCs/>
          <w:color w:val="auto"/>
          <w:sz w:val="32"/>
          <w:szCs w:val="32"/>
        </w:rPr>
      </w:pPr>
      <w:r>
        <w:rPr>
          <w:rFonts w:hint="eastAsia" w:ascii="黑体" w:hAnsi="黑体" w:eastAsia="黑体"/>
          <w:bCs/>
          <w:color w:val="auto"/>
          <w:sz w:val="32"/>
          <w:szCs w:val="32"/>
        </w:rPr>
        <w:t>附件2</w:t>
      </w:r>
    </w:p>
    <w:p>
      <w:pPr>
        <w:widowControl w:val="0"/>
        <w:spacing w:line="550" w:lineRule="exact"/>
        <w:ind w:left="2945" w:hanging="2944" w:hangingChars="818"/>
        <w:jc w:val="center"/>
        <w:rPr>
          <w:rFonts w:hint="eastAsia" w:ascii="黑体" w:hAnsi="黑体" w:eastAsia="黑体"/>
          <w:bCs/>
          <w:color w:val="auto"/>
          <w:sz w:val="36"/>
          <w:szCs w:val="36"/>
        </w:rPr>
      </w:pPr>
      <w:r>
        <w:rPr>
          <w:rFonts w:hint="eastAsia" w:ascii="黑体" w:hAnsi="黑体" w:eastAsia="黑体"/>
          <w:bCs/>
          <w:color w:val="auto"/>
          <w:sz w:val="36"/>
          <w:szCs w:val="36"/>
        </w:rPr>
        <w:t>成都市大邑县2017年医疗卫生人才引进岗位表</w:t>
      </w:r>
    </w:p>
    <w:p>
      <w:pPr>
        <w:widowControl w:val="0"/>
        <w:spacing w:line="550" w:lineRule="exact"/>
        <w:ind w:left="2945" w:hanging="2944" w:hangingChars="818"/>
        <w:jc w:val="center"/>
        <w:rPr>
          <w:rFonts w:hint="eastAsia" w:ascii="黑体" w:hAnsi="黑体" w:eastAsia="黑体"/>
          <w:bCs/>
          <w:color w:val="auto"/>
          <w:sz w:val="36"/>
          <w:szCs w:val="36"/>
        </w:rPr>
      </w:pPr>
      <w:bookmarkStart w:id="0" w:name="_GoBack"/>
      <w:bookmarkEnd w:id="0"/>
    </w:p>
    <w:tbl>
      <w:tblPr>
        <w:tblStyle w:val="6"/>
        <w:tblW w:w="1526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99"/>
        <w:gridCol w:w="660"/>
        <w:gridCol w:w="850"/>
        <w:gridCol w:w="2269"/>
        <w:gridCol w:w="1985"/>
        <w:gridCol w:w="1559"/>
        <w:gridCol w:w="1084"/>
        <w:gridCol w:w="1025"/>
        <w:gridCol w:w="3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 w:val="21"/>
                <w:szCs w:val="21"/>
              </w:rPr>
            </w:pPr>
            <w:r>
              <w:rPr>
                <w:rFonts w:eastAsia="黑体"/>
                <w:b/>
                <w:bCs/>
                <w:color w:val="auto"/>
                <w:sz w:val="21"/>
                <w:szCs w:val="21"/>
              </w:rPr>
              <w:t>引才单位</w:t>
            </w:r>
          </w:p>
        </w:tc>
        <w:tc>
          <w:tcPr>
            <w:tcW w:w="899" w:type="dxa"/>
            <w:vMerge w:val="restart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color w:val="auto"/>
                <w:sz w:val="21"/>
                <w:szCs w:val="21"/>
              </w:rPr>
            </w:pPr>
            <w:r>
              <w:rPr>
                <w:rFonts w:eastAsia="黑体"/>
                <w:b/>
                <w:bCs/>
                <w:color w:val="auto"/>
                <w:sz w:val="21"/>
                <w:szCs w:val="21"/>
              </w:rPr>
              <w:t>引进</w:t>
            </w:r>
          </w:p>
          <w:p>
            <w:pPr>
              <w:jc w:val="center"/>
              <w:rPr>
                <w:rFonts w:eastAsia="黑体"/>
                <w:b/>
                <w:bCs/>
                <w:color w:val="auto"/>
                <w:sz w:val="21"/>
                <w:szCs w:val="21"/>
              </w:rPr>
            </w:pPr>
            <w:r>
              <w:rPr>
                <w:rFonts w:eastAsia="黑体"/>
                <w:b/>
                <w:bCs/>
                <w:color w:val="auto"/>
                <w:sz w:val="21"/>
                <w:szCs w:val="21"/>
              </w:rPr>
              <w:t>岗位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 w:val="21"/>
                <w:szCs w:val="21"/>
              </w:rPr>
            </w:pPr>
            <w:r>
              <w:rPr>
                <w:rFonts w:eastAsia="黑体"/>
                <w:b/>
                <w:bCs/>
                <w:color w:val="auto"/>
                <w:sz w:val="21"/>
                <w:szCs w:val="21"/>
              </w:rPr>
              <w:t>引进人数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eastAsia="黑体"/>
                <w:b/>
                <w:bCs/>
                <w:color w:val="auto"/>
                <w:sz w:val="21"/>
                <w:szCs w:val="21"/>
              </w:rPr>
              <w:t>岗位</w:t>
            </w:r>
          </w:p>
          <w:p>
            <w:pPr>
              <w:jc w:val="center"/>
              <w:rPr>
                <w:rFonts w:eastAsia="黑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eastAsia="黑体"/>
                <w:b/>
                <w:bCs/>
                <w:color w:val="auto"/>
                <w:sz w:val="21"/>
                <w:szCs w:val="21"/>
              </w:rPr>
              <w:t>代码</w:t>
            </w:r>
          </w:p>
        </w:tc>
        <w:tc>
          <w:tcPr>
            <w:tcW w:w="2269" w:type="dxa"/>
            <w:vMerge w:val="restart"/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 w:val="21"/>
                <w:szCs w:val="21"/>
              </w:rPr>
            </w:pPr>
            <w:r>
              <w:rPr>
                <w:rFonts w:eastAsia="黑体"/>
                <w:b/>
                <w:bCs/>
                <w:color w:val="auto"/>
                <w:sz w:val="21"/>
                <w:szCs w:val="21"/>
              </w:rPr>
              <w:t>专业要求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 w:val="21"/>
                <w:szCs w:val="21"/>
              </w:rPr>
            </w:pPr>
            <w:r>
              <w:rPr>
                <w:rFonts w:eastAsia="黑体"/>
                <w:b/>
                <w:bCs/>
                <w:color w:val="auto"/>
                <w:sz w:val="21"/>
                <w:szCs w:val="21"/>
              </w:rPr>
              <w:t>岗位要求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eastAsia="黑体"/>
                <w:b/>
                <w:bCs/>
                <w:color w:val="auto"/>
                <w:sz w:val="21"/>
                <w:szCs w:val="21"/>
              </w:rPr>
              <w:t>其它条件</w:t>
            </w:r>
          </w:p>
        </w:tc>
        <w:tc>
          <w:tcPr>
            <w:tcW w:w="5482" w:type="dxa"/>
            <w:gridSpan w:val="3"/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eastAsia="黑体"/>
                <w:b/>
                <w:bCs/>
                <w:color w:val="auto"/>
                <w:sz w:val="21"/>
                <w:szCs w:val="21"/>
              </w:rPr>
              <w:t>预计薪酬待遇（年）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2269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top"/>
          </w:tcPr>
          <w:p>
            <w:pPr>
              <w:jc w:val="center"/>
              <w:rPr>
                <w:rFonts w:hint="eastAsia" w:eastAsia="黑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eastAsia="黑体"/>
                <w:b/>
                <w:bCs/>
                <w:color w:val="auto"/>
                <w:sz w:val="21"/>
                <w:szCs w:val="21"/>
              </w:rPr>
              <w:t>工资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eastAsia="黑体"/>
                <w:b/>
                <w:bCs/>
                <w:color w:val="auto"/>
                <w:sz w:val="21"/>
                <w:szCs w:val="21"/>
              </w:rPr>
              <w:t>绩效</w:t>
            </w:r>
          </w:p>
        </w:tc>
        <w:tc>
          <w:tcPr>
            <w:tcW w:w="3373" w:type="dxa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eastAsia="黑体"/>
                <w:b/>
                <w:bCs/>
                <w:color w:val="auto"/>
                <w:sz w:val="21"/>
                <w:szCs w:val="21"/>
              </w:rPr>
              <w:t>县上补贴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县人民医院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专业技术岗位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03001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外科学、妇产科学、麻醉学、内科学、儿科学、病理学与病理生理学、神经病学、中西医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普通高等教育硕士研究生及以上学历或者取得副高级及以上职称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研究生年龄要求35岁以下(1982年9月30日以后出生)，博士学位研究生年龄在40周岁以下(1977年9月30日以后出生)，副高级及以上职称年龄要求在50岁以下(1967年9月30日以后出生)。2018年7月31日前须持有与报考岗位专业相应的《毕业证书》、《学位证书》、《执业医师资格证》和相应资格证书。</w:t>
            </w:r>
          </w:p>
        </w:tc>
        <w:tc>
          <w:tcPr>
            <w:tcW w:w="108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5万（硕士研究生及以上）；7万（副高级及以上职称）</w:t>
            </w:r>
          </w:p>
        </w:tc>
        <w:tc>
          <w:tcPr>
            <w:tcW w:w="102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8万（硕士研究生及以上）；13万（副高级及以上职称）</w:t>
            </w:r>
          </w:p>
        </w:tc>
        <w:tc>
          <w:tcPr>
            <w:tcW w:w="3373" w:type="dxa"/>
            <w:vMerge w:val="restart"/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工资福利待遇按单位性质及单位同类人员标准执行外，还可按《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大邑县教育和医疗卫生人才引进培养试行办法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》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﹙大委办〔2017〕71号﹚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规定享受相应层级的人才待遇。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县第二医院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专业技术岗位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03002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外科学、妇产科学、内科学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u w:val="single"/>
              </w:rPr>
            </w:pPr>
          </w:p>
        </w:tc>
        <w:tc>
          <w:tcPr>
            <w:tcW w:w="10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u w:val="single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u w:val="single"/>
              </w:rPr>
            </w:pPr>
          </w:p>
        </w:tc>
        <w:tc>
          <w:tcPr>
            <w:tcW w:w="337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县妇幼保健计划生育服务中心（县妇幼保健院）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专业技术岗位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03003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妇产科学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0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337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医院事务服务中心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管理岗位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03004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社会医学与卫生事业管理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普通高等教育硕士研究生及以上学历</w:t>
            </w:r>
          </w:p>
        </w:tc>
        <w:tc>
          <w:tcPr>
            <w:tcW w:w="1559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5万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4万</w:t>
            </w:r>
          </w:p>
        </w:tc>
        <w:tc>
          <w:tcPr>
            <w:tcW w:w="337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县疾控中心</w:t>
            </w:r>
          </w:p>
        </w:tc>
        <w:tc>
          <w:tcPr>
            <w:tcW w:w="89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专业技术岗位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03005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卫生检验学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普通高等教育硕士研究生及以上学历</w:t>
            </w:r>
          </w:p>
        </w:tc>
        <w:tc>
          <w:tcPr>
            <w:tcW w:w="1559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u w:val="single"/>
              </w:rPr>
            </w:pPr>
          </w:p>
        </w:tc>
        <w:tc>
          <w:tcPr>
            <w:tcW w:w="108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5万</w:t>
            </w:r>
          </w:p>
        </w:tc>
        <w:tc>
          <w:tcPr>
            <w:tcW w:w="102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4万</w:t>
            </w:r>
          </w:p>
        </w:tc>
        <w:tc>
          <w:tcPr>
            <w:tcW w:w="337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03006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流行病与卫生统计学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u w:val="single"/>
              </w:rPr>
            </w:pPr>
          </w:p>
        </w:tc>
        <w:tc>
          <w:tcPr>
            <w:tcW w:w="10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u w:val="single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u w:val="single"/>
              </w:rPr>
            </w:pPr>
          </w:p>
        </w:tc>
        <w:tc>
          <w:tcPr>
            <w:tcW w:w="337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 w:val="21"/>
                <w:szCs w:val="21"/>
              </w:rPr>
            </w:pPr>
            <w:r>
              <w:rPr>
                <w:rFonts w:eastAsia="黑体"/>
                <w:b/>
                <w:bCs/>
                <w:color w:val="auto"/>
                <w:sz w:val="21"/>
                <w:szCs w:val="21"/>
              </w:rPr>
              <w:t>引才单位</w:t>
            </w:r>
          </w:p>
        </w:tc>
        <w:tc>
          <w:tcPr>
            <w:tcW w:w="899" w:type="dxa"/>
            <w:vMerge w:val="restart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color w:val="auto"/>
                <w:sz w:val="21"/>
                <w:szCs w:val="21"/>
              </w:rPr>
            </w:pPr>
            <w:r>
              <w:rPr>
                <w:rFonts w:eastAsia="黑体"/>
                <w:b/>
                <w:bCs/>
                <w:color w:val="auto"/>
                <w:sz w:val="21"/>
                <w:szCs w:val="21"/>
              </w:rPr>
              <w:t>引进</w:t>
            </w:r>
          </w:p>
          <w:p>
            <w:pPr>
              <w:jc w:val="center"/>
              <w:rPr>
                <w:rFonts w:eastAsia="黑体"/>
                <w:b/>
                <w:bCs/>
                <w:color w:val="auto"/>
                <w:sz w:val="21"/>
                <w:szCs w:val="21"/>
              </w:rPr>
            </w:pPr>
            <w:r>
              <w:rPr>
                <w:rFonts w:eastAsia="黑体"/>
                <w:b/>
                <w:bCs/>
                <w:color w:val="auto"/>
                <w:sz w:val="21"/>
                <w:szCs w:val="21"/>
              </w:rPr>
              <w:t>岗位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 w:val="21"/>
                <w:szCs w:val="21"/>
              </w:rPr>
            </w:pPr>
            <w:r>
              <w:rPr>
                <w:rFonts w:eastAsia="黑体"/>
                <w:b/>
                <w:bCs/>
                <w:color w:val="auto"/>
                <w:sz w:val="21"/>
                <w:szCs w:val="21"/>
              </w:rPr>
              <w:t>引进人数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eastAsia="黑体"/>
                <w:b/>
                <w:bCs/>
                <w:color w:val="auto"/>
                <w:sz w:val="21"/>
                <w:szCs w:val="21"/>
              </w:rPr>
              <w:t>岗位</w:t>
            </w:r>
          </w:p>
          <w:p>
            <w:pPr>
              <w:jc w:val="center"/>
              <w:rPr>
                <w:rFonts w:eastAsia="黑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eastAsia="黑体"/>
                <w:b/>
                <w:bCs/>
                <w:color w:val="auto"/>
                <w:sz w:val="21"/>
                <w:szCs w:val="21"/>
              </w:rPr>
              <w:t>代码</w:t>
            </w:r>
          </w:p>
        </w:tc>
        <w:tc>
          <w:tcPr>
            <w:tcW w:w="2269" w:type="dxa"/>
            <w:vMerge w:val="restart"/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 w:val="21"/>
                <w:szCs w:val="21"/>
              </w:rPr>
            </w:pPr>
            <w:r>
              <w:rPr>
                <w:rFonts w:eastAsia="黑体"/>
                <w:b/>
                <w:bCs/>
                <w:color w:val="auto"/>
                <w:sz w:val="21"/>
                <w:szCs w:val="21"/>
              </w:rPr>
              <w:t>专业要求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 w:val="21"/>
                <w:szCs w:val="21"/>
              </w:rPr>
            </w:pPr>
            <w:r>
              <w:rPr>
                <w:rFonts w:eastAsia="黑体"/>
                <w:b/>
                <w:bCs/>
                <w:color w:val="auto"/>
                <w:sz w:val="21"/>
                <w:szCs w:val="21"/>
              </w:rPr>
              <w:t>岗位要求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eastAsia="黑体"/>
                <w:b/>
                <w:bCs/>
                <w:color w:val="auto"/>
                <w:sz w:val="21"/>
                <w:szCs w:val="21"/>
              </w:rPr>
              <w:t>其它条件</w:t>
            </w:r>
          </w:p>
        </w:tc>
        <w:tc>
          <w:tcPr>
            <w:tcW w:w="548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eastAsia="黑体"/>
                <w:b/>
                <w:bCs/>
                <w:color w:val="auto"/>
                <w:sz w:val="21"/>
                <w:szCs w:val="21"/>
              </w:rPr>
              <w:t>预计薪酬待遇（年）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2269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top"/>
          </w:tcPr>
          <w:p>
            <w:pPr>
              <w:jc w:val="center"/>
              <w:rPr>
                <w:rFonts w:hint="eastAsia" w:eastAsia="黑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eastAsia="黑体"/>
                <w:b/>
                <w:bCs/>
                <w:color w:val="auto"/>
                <w:sz w:val="21"/>
                <w:szCs w:val="21"/>
              </w:rPr>
              <w:t>工资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eastAsia="黑体"/>
                <w:b/>
                <w:bCs/>
                <w:color w:val="auto"/>
                <w:sz w:val="21"/>
                <w:szCs w:val="21"/>
              </w:rPr>
              <w:t>绩效</w:t>
            </w:r>
          </w:p>
        </w:tc>
        <w:tc>
          <w:tcPr>
            <w:tcW w:w="3373" w:type="dxa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eastAsia="黑体"/>
                <w:b/>
                <w:bCs/>
                <w:color w:val="auto"/>
                <w:sz w:val="21"/>
                <w:szCs w:val="21"/>
              </w:rPr>
              <w:t>县上补贴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大邑县王泗镇公立卫生院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专业技术岗位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03007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中医学、外科学、内科学、儿科学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普通高等教育硕士研究生及以上学历或者取得副高级及以上职称</w:t>
            </w:r>
          </w:p>
          <w:p>
            <w:pPr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研究生年龄要求35岁以下(1982年9月30日以后出生)，博士学位研究生年龄在40周岁以下(1977年9月30日以后出生)，副高级及以上职称年龄要求在50岁以下(1967年9月30日以后出生)。2018年7月31日前须持有与报考岗位专业相应的《毕业证书》、《学位证书》、《执业医师资格证》和相应资格证书。</w:t>
            </w:r>
          </w:p>
        </w:tc>
        <w:tc>
          <w:tcPr>
            <w:tcW w:w="108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5万（硕士研究生及以上）；7万（副高级及以上职称）</w:t>
            </w:r>
          </w:p>
        </w:tc>
        <w:tc>
          <w:tcPr>
            <w:tcW w:w="102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8万（硕士研究生及以上）；13万（副高级及以上职称）</w:t>
            </w:r>
          </w:p>
        </w:tc>
        <w:tc>
          <w:tcPr>
            <w:tcW w:w="3373" w:type="dxa"/>
            <w:vMerge w:val="restart"/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工资福利待遇按单位性质及单位同类人员标准执行外，还可按《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大邑县教育和医疗卫生人才引进培养试行办法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》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﹙大委办〔2017〕71号﹚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规定享受相应层级的人才待遇。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大邑县新场镇公立卫生院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专业技术岗位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03008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临床医学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u w:val="single"/>
              </w:rPr>
            </w:pPr>
          </w:p>
        </w:tc>
        <w:tc>
          <w:tcPr>
            <w:tcW w:w="10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u w:val="single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u w:val="single"/>
              </w:rPr>
            </w:pPr>
          </w:p>
        </w:tc>
        <w:tc>
          <w:tcPr>
            <w:tcW w:w="337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大邑县三岔镇公立卫生院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专业技术岗位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03009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临床医学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u w:val="single"/>
              </w:rPr>
            </w:pPr>
          </w:p>
        </w:tc>
        <w:tc>
          <w:tcPr>
            <w:tcW w:w="10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u w:val="single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u w:val="single"/>
              </w:rPr>
            </w:pPr>
          </w:p>
        </w:tc>
        <w:tc>
          <w:tcPr>
            <w:tcW w:w="337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大邑县韩场镇公立卫生院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专业技术岗位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03010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内科学、儿科学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u w:val="single"/>
              </w:rPr>
            </w:pPr>
          </w:p>
        </w:tc>
        <w:tc>
          <w:tcPr>
            <w:tcW w:w="10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u w:val="single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u w:val="single"/>
              </w:rPr>
            </w:pPr>
          </w:p>
        </w:tc>
        <w:tc>
          <w:tcPr>
            <w:tcW w:w="337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大邑县董场镇公立卫生院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专业技术岗位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03011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外科学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u w:val="single"/>
              </w:rPr>
            </w:pPr>
          </w:p>
        </w:tc>
        <w:tc>
          <w:tcPr>
            <w:tcW w:w="10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u w:val="single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u w:val="single"/>
              </w:rPr>
            </w:pPr>
          </w:p>
        </w:tc>
        <w:tc>
          <w:tcPr>
            <w:tcW w:w="337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大邑县沙渠镇公立卫生院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专业技术岗位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03012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临床医学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u w:val="single"/>
              </w:rPr>
            </w:pPr>
          </w:p>
        </w:tc>
        <w:tc>
          <w:tcPr>
            <w:tcW w:w="10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u w:val="single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u w:val="single"/>
              </w:rPr>
            </w:pPr>
          </w:p>
        </w:tc>
        <w:tc>
          <w:tcPr>
            <w:tcW w:w="337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</w:tbl>
    <w:p>
      <w:pPr>
        <w:rPr>
          <w:rFonts w:hint="eastAsia"/>
          <w:color w:val="auto"/>
        </w:rPr>
      </w:pPr>
    </w:p>
    <w:p>
      <w:pPr>
        <w:rPr>
          <w:color w:val="auto"/>
        </w:rPr>
      </w:pPr>
    </w:p>
    <w:sectPr>
      <w:headerReference r:id="rId3" w:type="default"/>
      <w:footerReference r:id="rId4" w:type="default"/>
      <w:footerReference r:id="rId5" w:type="even"/>
      <w:pgSz w:w="16840" w:h="11907" w:orient="landscape"/>
      <w:pgMar w:top="1247" w:right="1191" w:bottom="1418" w:left="1191" w:header="737" w:footer="1247" w:gutter="0"/>
      <w:cols w:space="720" w:num="1"/>
      <w:docGrid w:linePitch="407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00" w:leftChars="100" w:right="300" w:rightChars="100"/>
      <w:rPr>
        <w:rStyle w:val="5"/>
        <w:rFonts w:hint="eastAsia" w:ascii="宋体" w:hAnsi="宋体" w:eastAsia="宋体"/>
        <w:sz w:val="28"/>
        <w:szCs w:val="28"/>
      </w:rPr>
    </w:pPr>
    <w:r>
      <w:rPr>
        <w:rStyle w:val="5"/>
        <w:rFonts w:hint="eastAsia" w:ascii="宋体" w:hAnsi="宋体" w:eastAsia="宋体"/>
        <w:sz w:val="28"/>
        <w:szCs w:val="28"/>
      </w:rPr>
      <w:t>－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10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5"/>
        <w:rFonts w:hint="eastAsia" w:ascii="宋体" w:hAnsi="宋体" w:eastAsia="宋体"/>
        <w:sz w:val="28"/>
        <w:szCs w:val="28"/>
      </w:rPr>
      <w:t>－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E66782"/>
    <w:rsid w:val="17715EEF"/>
    <w:rsid w:val="6D2A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eastAsia="仿宋_GB2312" w:asciiTheme="minorHAnsi" w:hAnsiTheme="minorHAnsi" w:cstheme="minorBidi"/>
      <w:sz w:val="30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AAA</dc:creator>
  <cp:lastModifiedBy>AAA</cp:lastModifiedBy>
  <dcterms:modified xsi:type="dcterms:W3CDTF">2017-10-27T06:37:16Z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