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bCs/>
          <w:sz w:val="26"/>
          <w:szCs w:val="26"/>
        </w:rPr>
      </w:pPr>
      <w:bookmarkStart w:id="0" w:name="_GoBack"/>
      <w:bookmarkEnd w:id="0"/>
      <w:r>
        <w:rPr>
          <w:rFonts w:hint="eastAsia" w:ascii="黑体" w:hAnsi="黑体" w:eastAsia="黑体" w:cs="黑体"/>
          <w:bCs/>
          <w:sz w:val="26"/>
          <w:szCs w:val="26"/>
        </w:rPr>
        <w:t>附件1</w:t>
      </w:r>
    </w:p>
    <w:p>
      <w:pPr>
        <w:adjustRightInd w:val="0"/>
        <w:snapToGrid w:val="0"/>
        <w:spacing w:beforeLines="50" w:afterLines="50" w:line="580" w:lineRule="exact"/>
        <w:jc w:val="center"/>
        <w:rPr>
          <w:rFonts w:ascii="黑体" w:hAnsi="黑体" w:eastAsia="黑体" w:cs="黑体"/>
          <w:bCs/>
          <w:sz w:val="36"/>
          <w:szCs w:val="36"/>
        </w:rPr>
      </w:pPr>
      <w:r>
        <w:rPr>
          <w:rFonts w:hint="eastAsia" w:ascii="黑体" w:hAnsi="黑体" w:eastAsia="黑体" w:cs="黑体"/>
          <w:bCs/>
          <w:sz w:val="36"/>
          <w:szCs w:val="36"/>
        </w:rPr>
        <w:t>四川省精神医学中心招聘岗位条件和报名要求一览表</w:t>
      </w:r>
    </w:p>
    <w:p>
      <w:pPr>
        <w:adjustRightInd w:val="0"/>
        <w:snapToGrid w:val="0"/>
        <w:spacing w:beforeLines="50" w:afterLines="50" w:line="580" w:lineRule="exact"/>
        <w:jc w:val="center"/>
        <w:rPr>
          <w:rFonts w:ascii="黑体" w:hAnsi="黑体" w:eastAsia="黑体" w:cs="黑体"/>
          <w:bCs/>
          <w:sz w:val="36"/>
          <w:szCs w:val="36"/>
        </w:rPr>
      </w:pPr>
    </w:p>
    <w:tbl>
      <w:tblPr>
        <w:tblStyle w:val="6"/>
        <w:tblW w:w="15372" w:type="dxa"/>
        <w:jc w:val="center"/>
        <w:tblInd w:w="-8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15"/>
        <w:gridCol w:w="645"/>
        <w:gridCol w:w="555"/>
        <w:gridCol w:w="1050"/>
        <w:gridCol w:w="945"/>
        <w:gridCol w:w="1050"/>
        <w:gridCol w:w="1035"/>
        <w:gridCol w:w="3495"/>
        <w:gridCol w:w="5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05" w:hRule="atLeast"/>
          <w:jc w:val="center"/>
        </w:trPr>
        <w:tc>
          <w:tcPr>
            <w:tcW w:w="615" w:type="dxa"/>
            <w:vMerge w:val="restart"/>
            <w:vAlign w:val="center"/>
          </w:tcPr>
          <w:p>
            <w:pPr>
              <w:widowControl/>
              <w:jc w:val="center"/>
              <w:rPr>
                <w:rFonts w:ascii="楷体_GB2312" w:hAnsi="华文中宋" w:eastAsia="楷体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_GB2312" w:hAnsi="华文中宋" w:eastAsia="楷体_GB2312" w:cs="宋体"/>
                <w:b/>
                <w:bCs/>
                <w:color w:val="000000"/>
                <w:kern w:val="0"/>
                <w:szCs w:val="21"/>
              </w:rPr>
              <w:t>招聘岗位</w:t>
            </w:r>
          </w:p>
        </w:tc>
        <w:tc>
          <w:tcPr>
            <w:tcW w:w="645" w:type="dxa"/>
            <w:vMerge w:val="restart"/>
            <w:vAlign w:val="center"/>
          </w:tcPr>
          <w:p>
            <w:pPr>
              <w:widowControl/>
              <w:jc w:val="center"/>
              <w:rPr>
                <w:rFonts w:ascii="楷体_GB2312" w:hAnsi="华文中宋" w:eastAsia="楷体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_GB2312" w:hAnsi="华文中宋" w:eastAsia="楷体_GB2312" w:cs="宋体"/>
                <w:b/>
                <w:bCs/>
                <w:color w:val="000000"/>
                <w:kern w:val="0"/>
                <w:szCs w:val="21"/>
              </w:rPr>
              <w:t>招聘</w:t>
            </w:r>
            <w:r>
              <w:rPr>
                <w:rFonts w:hint="eastAsia" w:ascii="楷体_GB2312" w:hAnsi="华文中宋" w:eastAsia="楷体_GB2312" w:cs="宋体"/>
                <w:b/>
                <w:bCs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楷体_GB2312" w:hAnsi="华文中宋" w:eastAsia="楷体_GB2312" w:cs="宋体"/>
                <w:b/>
                <w:bCs/>
                <w:color w:val="000000"/>
                <w:kern w:val="0"/>
                <w:szCs w:val="21"/>
              </w:rPr>
              <w:t>人数</w:t>
            </w:r>
          </w:p>
        </w:tc>
        <w:tc>
          <w:tcPr>
            <w:tcW w:w="555" w:type="dxa"/>
            <w:vMerge w:val="restart"/>
            <w:vAlign w:val="center"/>
          </w:tcPr>
          <w:p>
            <w:pPr>
              <w:jc w:val="center"/>
              <w:rPr>
                <w:rFonts w:ascii="楷体_GB2312" w:hAnsi="华文中宋" w:eastAsia="楷体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_GB2312" w:hAnsi="华文中宋" w:eastAsia="楷体_GB2312" w:cs="宋体"/>
                <w:b/>
                <w:bCs/>
                <w:color w:val="000000"/>
                <w:kern w:val="0"/>
                <w:szCs w:val="21"/>
              </w:rPr>
              <w:t>考试方式</w:t>
            </w:r>
          </w:p>
        </w:tc>
        <w:tc>
          <w:tcPr>
            <w:tcW w:w="1050" w:type="dxa"/>
            <w:vMerge w:val="restart"/>
            <w:vAlign w:val="center"/>
          </w:tcPr>
          <w:p>
            <w:pPr>
              <w:widowControl/>
              <w:jc w:val="center"/>
              <w:rPr>
                <w:rFonts w:ascii="楷体_GB2312" w:hAnsi="华文中宋" w:eastAsia="楷体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_GB2312" w:hAnsi="华文中宋" w:eastAsia="楷体_GB2312" w:cs="宋体"/>
                <w:b/>
                <w:bCs/>
                <w:color w:val="000000"/>
                <w:kern w:val="0"/>
                <w:szCs w:val="21"/>
              </w:rPr>
              <w:t>招聘对象</w:t>
            </w:r>
            <w:r>
              <w:rPr>
                <w:rFonts w:hint="eastAsia" w:ascii="楷体_GB2312" w:hAnsi="华文中宋" w:eastAsia="楷体_GB2312" w:cs="宋体"/>
                <w:b/>
                <w:bCs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楷体_GB2312" w:hAnsi="华文中宋" w:eastAsia="楷体_GB2312" w:cs="宋体"/>
                <w:b/>
                <w:bCs/>
                <w:color w:val="000000"/>
                <w:kern w:val="0"/>
                <w:szCs w:val="21"/>
              </w:rPr>
              <w:t>范围</w:t>
            </w:r>
          </w:p>
        </w:tc>
        <w:tc>
          <w:tcPr>
            <w:tcW w:w="6525" w:type="dxa"/>
            <w:gridSpan w:val="4"/>
            <w:vAlign w:val="center"/>
          </w:tcPr>
          <w:p>
            <w:pPr>
              <w:widowControl/>
              <w:jc w:val="center"/>
              <w:rPr>
                <w:rFonts w:ascii="楷体_GB2312" w:hAnsi="华文中宋" w:eastAsia="楷体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_GB2312" w:hAnsi="华文中宋" w:eastAsia="楷体_GB2312" w:cs="宋体"/>
                <w:b/>
                <w:bCs/>
                <w:color w:val="000000"/>
                <w:kern w:val="0"/>
                <w:szCs w:val="21"/>
              </w:rPr>
              <w:t>其他条件要求</w:t>
            </w:r>
          </w:p>
        </w:tc>
        <w:tc>
          <w:tcPr>
            <w:tcW w:w="5982" w:type="dxa"/>
            <w:vMerge w:val="restart"/>
            <w:vAlign w:val="center"/>
          </w:tcPr>
          <w:p>
            <w:pPr>
              <w:widowControl/>
              <w:jc w:val="center"/>
              <w:rPr>
                <w:rFonts w:ascii="楷体_GB2312" w:hAnsi="华文中宋" w:eastAsia="楷体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_GB2312" w:hAnsi="华文中宋" w:eastAsia="楷体_GB2312" w:cs="宋体"/>
                <w:b/>
                <w:bCs/>
                <w:color w:val="000000"/>
                <w:kern w:val="0"/>
                <w:szCs w:val="21"/>
              </w:rPr>
              <w:t>岗位职责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0" w:hRule="atLeast"/>
          <w:jc w:val="center"/>
        </w:trPr>
        <w:tc>
          <w:tcPr>
            <w:tcW w:w="61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楷体_GB2312" w:hAnsi="华文中宋" w:eastAsia="楷体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64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楷体_GB2312" w:hAnsi="华文中宋" w:eastAsia="楷体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5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楷体_GB2312" w:hAnsi="华文中宋" w:eastAsia="楷体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楷体_GB2312" w:hAnsi="华文中宋" w:eastAsia="楷体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45" w:type="dxa"/>
            <w:vAlign w:val="center"/>
          </w:tcPr>
          <w:p>
            <w:pPr>
              <w:widowControl/>
              <w:jc w:val="center"/>
              <w:rPr>
                <w:rFonts w:ascii="楷体_GB2312" w:hAnsi="华文中宋" w:eastAsia="楷体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_GB2312" w:hAnsi="华文中宋" w:eastAsia="楷体_GB2312" w:cs="宋体"/>
                <w:b/>
                <w:bCs/>
                <w:color w:val="000000"/>
                <w:kern w:val="0"/>
                <w:szCs w:val="21"/>
              </w:rPr>
              <w:t>年龄</w:t>
            </w:r>
          </w:p>
        </w:tc>
        <w:tc>
          <w:tcPr>
            <w:tcW w:w="1050" w:type="dxa"/>
            <w:vAlign w:val="center"/>
          </w:tcPr>
          <w:p>
            <w:pPr>
              <w:widowControl/>
              <w:jc w:val="center"/>
              <w:rPr>
                <w:rFonts w:ascii="楷体_GB2312" w:hAnsi="华文中宋" w:eastAsia="楷体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_GB2312" w:hAnsi="华文中宋" w:eastAsia="楷体_GB2312" w:cs="宋体"/>
                <w:b/>
                <w:bCs/>
                <w:color w:val="000000"/>
                <w:kern w:val="0"/>
                <w:szCs w:val="21"/>
              </w:rPr>
              <w:t>学历学位</w:t>
            </w:r>
          </w:p>
        </w:tc>
        <w:tc>
          <w:tcPr>
            <w:tcW w:w="1035" w:type="dxa"/>
            <w:vAlign w:val="center"/>
          </w:tcPr>
          <w:p>
            <w:pPr>
              <w:widowControl/>
              <w:jc w:val="center"/>
              <w:rPr>
                <w:rFonts w:ascii="楷体_GB2312" w:hAnsi="华文中宋" w:eastAsia="楷体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_GB2312" w:hAnsi="华文中宋" w:eastAsia="楷体_GB2312" w:cs="宋体"/>
                <w:b/>
                <w:bCs/>
                <w:color w:val="000000"/>
                <w:kern w:val="0"/>
                <w:szCs w:val="21"/>
              </w:rPr>
              <w:t>专业条件要求</w:t>
            </w:r>
          </w:p>
        </w:tc>
        <w:tc>
          <w:tcPr>
            <w:tcW w:w="3495" w:type="dxa"/>
            <w:vAlign w:val="center"/>
          </w:tcPr>
          <w:p>
            <w:pPr>
              <w:widowControl/>
              <w:jc w:val="center"/>
              <w:rPr>
                <w:rFonts w:ascii="楷体_GB2312" w:hAnsi="华文中宋" w:eastAsia="楷体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_GB2312" w:hAnsi="华文中宋" w:eastAsia="楷体_GB2312" w:cs="宋体"/>
                <w:b/>
                <w:bCs/>
                <w:color w:val="000000"/>
                <w:kern w:val="0"/>
                <w:szCs w:val="21"/>
              </w:rPr>
              <w:t>其他要求</w:t>
            </w:r>
          </w:p>
        </w:tc>
        <w:tc>
          <w:tcPr>
            <w:tcW w:w="5982" w:type="dxa"/>
            <w:vMerge w:val="continue"/>
            <w:vAlign w:val="center"/>
          </w:tcPr>
          <w:p>
            <w:pPr>
              <w:widowControl/>
              <w:jc w:val="center"/>
              <w:rPr>
                <w:rFonts w:ascii="楷体_GB2312" w:hAnsi="华文中宋" w:eastAsia="楷体_GB2312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9" w:hRule="atLeast"/>
          <w:jc w:val="center"/>
        </w:trPr>
        <w:tc>
          <w:tcPr>
            <w:tcW w:w="615" w:type="dxa"/>
            <w:shd w:val="clear" w:color="000000" w:fill="FFFFFF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会计</w:t>
            </w:r>
          </w:p>
        </w:tc>
        <w:tc>
          <w:tcPr>
            <w:tcW w:w="645" w:type="dxa"/>
            <w:shd w:val="clear" w:color="000000" w:fill="FFFFFF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1</w:t>
            </w:r>
          </w:p>
        </w:tc>
        <w:tc>
          <w:tcPr>
            <w:tcW w:w="555" w:type="dxa"/>
            <w:shd w:val="clear" w:color="000000" w:fill="FFFFFF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面试</w:t>
            </w:r>
          </w:p>
        </w:tc>
        <w:tc>
          <w:tcPr>
            <w:tcW w:w="1050" w:type="dxa"/>
            <w:shd w:val="clear" w:color="000000" w:fill="FFFFFF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普通高等教育全日制普通班毕业生</w:t>
            </w:r>
          </w:p>
        </w:tc>
        <w:tc>
          <w:tcPr>
            <w:tcW w:w="945" w:type="dxa"/>
            <w:shd w:val="clear" w:color="000000" w:fill="FFFFFF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1983年1月1日及以后出生</w:t>
            </w:r>
          </w:p>
        </w:tc>
        <w:tc>
          <w:tcPr>
            <w:tcW w:w="1050" w:type="dxa"/>
            <w:shd w:val="clear" w:color="000000" w:fill="FFFFFF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大学本科及以上学历</w:t>
            </w:r>
          </w:p>
        </w:tc>
        <w:tc>
          <w:tcPr>
            <w:tcW w:w="1035" w:type="dxa"/>
            <w:shd w:val="clear" w:color="000000" w:fill="FFFFFF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会计学、财务管理</w:t>
            </w:r>
          </w:p>
        </w:tc>
        <w:tc>
          <w:tcPr>
            <w:tcW w:w="3495" w:type="dxa"/>
            <w:shd w:val="clear" w:color="000000" w:fill="FFFFFF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1.取得会计初级及以上专业技术职称；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2.有3-5年财务管理工作经验；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3.熟悉财务工作相关制度和流程，有医院财务工作经历者优先。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4.品行端正、有职业操守，吃苦耐劳、服从领导、责任心强、工作细致</w:t>
            </w:r>
          </w:p>
        </w:tc>
        <w:tc>
          <w:tcPr>
            <w:tcW w:w="5982" w:type="dxa"/>
            <w:shd w:val="clear" w:color="000000" w:fill="FFFFFF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1.负责医院的财务会计工作岗位职责：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2.进行真实、合理、及时、准确、规范的日常基础会计核算； 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3.正确计算收入、费用、成本，正确计算和处理财务成果，按照会计准则编制月度、年度会计报表以及其他各项报表； 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4.负责编制预算，并监督和考核预算执行情况，分析预算与实际的差异，提供合理化建议； 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5.负责固定资产的财务管理，按月正确计提固定资产折旧，定期或不定期地组织清产核资工作； 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6.负责个人所得税税金的计算、申报工作； 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7.负责会计监督。根据规定的成本、费用开支范围和标准，审核原始凭证的合法性、合理性和真实性，审核费用发生的审批手续是否符合中心规定； 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8.及时做好会计凭证、账册、报表等会计资料及其他财务信息收集、整理、归档等档案管理工作； 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9.及时进行财务数据分析、评价，向领导提供及时、准确、可靠的财务信息，提出相关工作建议； 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10.协助部门负责人做好内务工作，完成领导临时交办的其他任务。 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</w:p>
        </w:tc>
      </w:tr>
    </w:tbl>
    <w:p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D76A54"/>
    <w:rsid w:val="0051192B"/>
    <w:rsid w:val="006F4F98"/>
    <w:rsid w:val="00A15BCE"/>
    <w:rsid w:val="00AD7D94"/>
    <w:rsid w:val="00C9722E"/>
    <w:rsid w:val="00D42329"/>
    <w:rsid w:val="20B32CCC"/>
    <w:rsid w:val="49D76A54"/>
    <w:rsid w:val="6D53502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Microsoft</Company>
  <Pages>1</Pages>
  <Words>98</Words>
  <Characters>561</Characters>
  <Lines>4</Lines>
  <Paragraphs>1</Paragraphs>
  <TotalTime>6</TotalTime>
  <ScaleCrop>false</ScaleCrop>
  <LinksUpToDate>false</LinksUpToDate>
  <CharactersWithSpaces>658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2018-06-15T03:28:00Z</dcterms:created>
  <dc:creator>～</dc:creator>
  <cp:lastModifiedBy>Administrator</cp:lastModifiedBy>
  <cp:lastPrinted>2018-06-15T03:36:00Z</cp:lastPrinted>
  <dcterms:modified xsi:type="dcterms:W3CDTF">2018-06-16T02:50:46Z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