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</w:pPr>
      <w:r>
        <w:rPr>
          <w:rFonts w:hint="default" w:ascii="Times New Roman" w:hAnsi="Times New Roman" w:eastAsia="方正小标宋简体" w:cs="Times New Roman"/>
          <w:b/>
          <w:bCs/>
          <w:color w:val="000000"/>
          <w:kern w:val="0"/>
          <w:sz w:val="24"/>
          <w:szCs w:val="36"/>
        </w:rPr>
        <w:t>附件1：</w:t>
      </w:r>
    </w:p>
    <w:p>
      <w:pPr>
        <w:spacing w:after="156" w:afterLines="50" w:line="300" w:lineRule="exact"/>
        <w:jc w:val="center"/>
        <w:rPr>
          <w:rFonts w:hint="default" w:ascii="Times New Roman" w:hAnsi="Times New Roman" w:eastAsia="仿宋_GB2312" w:cs="Times New Roman"/>
          <w:b/>
          <w:sz w:val="28"/>
          <w:szCs w:val="28"/>
        </w:rPr>
      </w:pP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  <w:t>201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6"/>
          <w:szCs w:val="36"/>
        </w:rPr>
        <w:t>年蓬安县招引优秀人才岗位及条件要求一览表</w:t>
      </w:r>
    </w:p>
    <w:bookmarkEnd w:id="0"/>
    <w:p>
      <w:pPr>
        <w:spacing w:after="156" w:afterLines="50" w:line="300" w:lineRule="exact"/>
        <w:jc w:val="center"/>
        <w:rPr>
          <w:rFonts w:hint="eastAsia" w:ascii="方正楷体简体" w:hAnsi="方正楷体简体" w:eastAsia="方正楷体简体" w:cs="方正楷体简体"/>
          <w:b/>
          <w:sz w:val="28"/>
          <w:szCs w:val="28"/>
        </w:rPr>
      </w:pPr>
      <w:r>
        <w:rPr>
          <w:rFonts w:hint="eastAsia" w:ascii="方正楷体简体" w:hAnsi="方正楷体简体" w:eastAsia="方正楷体简体" w:cs="方正楷体简体"/>
          <w:b/>
          <w:sz w:val="28"/>
          <w:szCs w:val="28"/>
        </w:rPr>
        <w:t>（编制内引进）</w:t>
      </w:r>
    </w:p>
    <w:tbl>
      <w:tblPr>
        <w:tblStyle w:val="5"/>
        <w:tblW w:w="10060" w:type="dxa"/>
        <w:jc w:val="center"/>
        <w:tblInd w:w="-17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6"/>
        <w:gridCol w:w="2596"/>
        <w:gridCol w:w="1111"/>
        <w:gridCol w:w="2581"/>
        <w:gridCol w:w="26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  <w:tblHeader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专业类别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招引人数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2019001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2019002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、会计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2019003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政史类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2019004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经济学、管理学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2019005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2019006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果树学、园艺学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2019007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农学、作物学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2019008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管理、网络空间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2019009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2019010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规划设计、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2019011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电子信息、通信与信息系统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2019012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森林培育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2019013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大数据及相关专业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2019014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城乡规划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2019015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建筑学、土木工程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2019016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、园林绿化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2019017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石油天然气工程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2019018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招引单位：县教育局下属学校（蓬安中学、蓬安二中、蓬安职中）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相关要求：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有相应教师资格证，信息技术类要求本科为信息技术类专业。纳入普通教师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带编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引进，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不享受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“相如英才”计划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优惠政策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2019019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2019020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</w:t>
            </w:r>
          </w:p>
        </w:tc>
        <w:tc>
          <w:tcPr>
            <w:tcW w:w="111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2019021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2019022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2019023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2019024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2019025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2019026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2019027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2019028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2019029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2019030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2019031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2019032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2019033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2019034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2019035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建筑、土木工程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5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2019036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眼科学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博士研究生及以上学历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招引单位：县人民医院（事业单位）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政策待遇：除“相如英才”计划相关政策外，本单位额外提供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安家费20-30万、公租房、事业单位保险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8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2019037</w:t>
            </w:r>
          </w:p>
        </w:tc>
        <w:tc>
          <w:tcPr>
            <w:tcW w:w="25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博士研究生及以上学历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2019038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眼科学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招引单位：县人民医院（事业单位）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政策待遇：除“相如英才”计划相关政策外，本单位额外提供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安家费15-20万、公租房、事业单位保险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2019039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耳鼻咽喉科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2019040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2019041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骨外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2019042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普外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2019043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泌尿外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2019044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胸心外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2019045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2019046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神经外科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2019047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神经内科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8" w:hRule="atLeas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2019048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妇产科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招引单位：县妇幼保健院（事业单位）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相关要求：要求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副主任医师及以上职称，“二甲”及以上医院工作10年以上。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政策待遇：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除“相如英才”计划相关政策外，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年薪25万，租赁住房一套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0" w:hRule="atLeas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2019049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27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2019050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康复科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招引单位：县妇幼保健院（事业单位）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政策待遇：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除“相如英才”计划相关政策外，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年薪20万元，租赁住房一套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2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2019051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招引单位：县中医院（事业单位）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政策待遇：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试用期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5000元/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，试用期满参与科室绩效考核。凡是考取规培资格签约后，规培期间工资按照5000元每月进行发放。</w:t>
            </w: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除“相如英才”计划相关政策外，本单位额外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给予一次性安家补助15-20万元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2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2019052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耳鼻咽喉科学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2019053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肛肠科学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2019054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2019055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2019056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2019057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2019058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医学技术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2019059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中西医临床医学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exact"/>
          <w:jc w:val="center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2019060</w:t>
            </w:r>
          </w:p>
        </w:tc>
        <w:tc>
          <w:tcPr>
            <w:tcW w:w="2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硕士研究生及以上学历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取得相应学位证书</w:t>
            </w:r>
          </w:p>
        </w:tc>
        <w:tc>
          <w:tcPr>
            <w:tcW w:w="268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outlineLvl w:val="9"/>
              <w:rPr>
                <w:rFonts w:hint="eastAsia" w:ascii="宋体" w:hAnsi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spacing w:line="300" w:lineRule="exact"/>
        <w:ind w:firstLine="482" w:firstLineChars="200"/>
        <w:rPr>
          <w:rFonts w:hint="default" w:ascii="Times New Roman" w:hAnsi="Times New Roman" w:eastAsia="黑体" w:cs="Times New Roman"/>
          <w:b/>
          <w:kern w:val="0"/>
          <w:sz w:val="24"/>
          <w:szCs w:val="24"/>
        </w:rPr>
      </w:pPr>
    </w:p>
    <w:p>
      <w:pPr>
        <w:spacing w:line="300" w:lineRule="exact"/>
        <w:ind w:firstLine="482" w:firstLineChars="20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备注：硕士研究生年龄35周岁以下（198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年7月1日之后出生），博士研究生年龄45周岁以下（197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 xml:space="preserve">年7月1日之后出生）。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b/>
                              <w:bCs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b/>
                        <w:bCs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B4501"/>
    <w:rsid w:val="3F4B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2019-03-26T08:58:00Z</dcterms:created>
  <dc:creator>%E8%B5%B5%E5%85%B6%E6%B5%B7</dc:creator>
  <cp:lastModifiedBy>%E8%B5%B5%E5%85%B6%E6%B5%B7</cp:lastModifiedBy>
  <dcterms:modified xsi:type="dcterms:W3CDTF">2019-03-26T08:58:52Z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