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rPr>
          <w:rFonts w:hint="eastAsia" w:ascii="Times New Roman" w:hAnsi="Times New Roman" w:eastAsia="方正黑体_GBK" w:cs="方正黑体_GBK"/>
          <w:i w:val="0"/>
          <w:color w:val="000000"/>
          <w:kern w:val="0"/>
          <w:sz w:val="33"/>
          <w:szCs w:val="33"/>
          <w:highlight w:val="none"/>
          <w:u w:val="none"/>
          <w:lang w:val="en-US" w:eastAsia="zh-CN" w:bidi="ar"/>
        </w:rPr>
      </w:pPr>
      <w:r>
        <w:rPr>
          <w:rFonts w:hint="eastAsia" w:ascii="Times New Roman" w:hAnsi="Times New Roman" w:eastAsia="方正黑体_GBK" w:cs="方正黑体_GBK"/>
          <w:i w:val="0"/>
          <w:color w:val="000000"/>
          <w:kern w:val="0"/>
          <w:sz w:val="33"/>
          <w:szCs w:val="33"/>
          <w:highlight w:val="none"/>
          <w:u w:val="none"/>
          <w:lang w:val="en-US" w:eastAsia="zh-CN" w:bidi="ar"/>
        </w:rPr>
        <w:t>附件2</w:t>
      </w:r>
      <w:bookmarkStart w:id="0" w:name="_GoBack"/>
      <w:bookmarkEnd w:id="0"/>
    </w:p>
    <w:p>
      <w:pPr>
        <w:spacing w:line="570" w:lineRule="exact"/>
        <w:jc w:val="center"/>
        <w:rPr>
          <w:rFonts w:hint="eastAsia" w:ascii="Times New Roman" w:hAnsi="Times New Roman"/>
          <w:b/>
          <w:bCs/>
          <w:sz w:val="44"/>
          <w:szCs w:val="44"/>
          <w:highlight w:val="none"/>
        </w:rPr>
      </w:pPr>
      <w:r>
        <w:rPr>
          <w:rFonts w:hint="eastAsia" w:ascii="Times New Roman" w:hAnsi="Times New Roman" w:eastAsia="方正小标宋_GBK" w:cs="方正小标宋_GBK"/>
          <w:b/>
          <w:bCs/>
          <w:i w:val="0"/>
          <w:color w:val="000000"/>
          <w:kern w:val="0"/>
          <w:sz w:val="44"/>
          <w:szCs w:val="44"/>
          <w:highlight w:val="none"/>
          <w:u w:val="none"/>
          <w:lang w:val="en-US" w:eastAsia="zh-CN" w:bidi="ar"/>
        </w:rPr>
        <w:t>邻水县2019年紧缺专业人才引进计划表</w:t>
      </w:r>
    </w:p>
    <w:tbl>
      <w:tblPr>
        <w:tblStyle w:val="7"/>
        <w:tblW w:w="13232" w:type="dxa"/>
        <w:tblInd w:w="0" w:type="dxa"/>
        <w:tblLayout w:type="fixed"/>
        <w:tblCellMar>
          <w:top w:w="0" w:type="dxa"/>
          <w:left w:w="0" w:type="dxa"/>
          <w:bottom w:w="0" w:type="dxa"/>
          <w:right w:w="0" w:type="dxa"/>
        </w:tblCellMar>
      </w:tblPr>
      <w:tblGrid>
        <w:gridCol w:w="481"/>
        <w:gridCol w:w="847"/>
        <w:gridCol w:w="516"/>
        <w:gridCol w:w="508"/>
        <w:gridCol w:w="2412"/>
        <w:gridCol w:w="496"/>
        <w:gridCol w:w="1223"/>
        <w:gridCol w:w="958"/>
        <w:gridCol w:w="1200"/>
        <w:gridCol w:w="1073"/>
        <w:gridCol w:w="957"/>
        <w:gridCol w:w="2560"/>
        <w:gridCol w:w="1"/>
      </w:tblGrid>
      <w:tr>
        <w:tblPrEx>
          <w:tblLayout w:type="fixed"/>
          <w:tblCellMar>
            <w:top w:w="0" w:type="dxa"/>
            <w:left w:w="0" w:type="dxa"/>
            <w:bottom w:w="0" w:type="dxa"/>
            <w:right w:w="0" w:type="dxa"/>
          </w:tblCellMar>
        </w:tblPrEx>
        <w:trPr>
          <w:gridAfter w:val="1"/>
          <w:wAfter w:w="1" w:type="dxa"/>
          <w:trHeight w:val="458" w:hRule="atLeast"/>
        </w:trPr>
        <w:tc>
          <w:tcPr>
            <w:tcW w:w="48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序号</w:t>
            </w:r>
          </w:p>
        </w:tc>
        <w:tc>
          <w:tcPr>
            <w:tcW w:w="84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kern w:val="0"/>
                <w:sz w:val="18"/>
                <w:szCs w:val="18"/>
                <w:u w:val="none"/>
                <w:lang w:val="en-US" w:eastAsia="zh-CN" w:bidi="ar"/>
              </w:rPr>
            </w:pPr>
            <w:r>
              <w:rPr>
                <w:rFonts w:hint="eastAsia" w:ascii="Times New Roman" w:hAnsi="Times New Roman" w:eastAsia="方正仿宋_GBK" w:cs="Times New Roman"/>
                <w:b/>
                <w:i w:val="0"/>
                <w:color w:val="000000"/>
                <w:kern w:val="0"/>
                <w:sz w:val="18"/>
                <w:szCs w:val="18"/>
                <w:u w:val="none"/>
                <w:lang w:val="en-US" w:eastAsia="zh-CN" w:bidi="ar"/>
              </w:rPr>
              <w:t>归口单位</w:t>
            </w:r>
          </w:p>
        </w:tc>
        <w:tc>
          <w:tcPr>
            <w:tcW w:w="516"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eastAsia" w:ascii="Times New Roman" w:hAnsi="Times New Roman" w:eastAsia="方正仿宋_GBK" w:cs="Times New Roman"/>
                <w:b/>
                <w:i w:val="0"/>
                <w:color w:val="000000"/>
                <w:kern w:val="0"/>
                <w:sz w:val="18"/>
                <w:szCs w:val="18"/>
                <w:u w:val="none"/>
                <w:lang w:val="en-US" w:eastAsia="zh-CN" w:bidi="ar"/>
              </w:rPr>
              <w:t>用人企业</w:t>
            </w:r>
          </w:p>
        </w:tc>
        <w:tc>
          <w:tcPr>
            <w:tcW w:w="341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需求情况</w:t>
            </w:r>
          </w:p>
        </w:tc>
        <w:tc>
          <w:tcPr>
            <w:tcW w:w="445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需求条件</w:t>
            </w:r>
          </w:p>
        </w:tc>
        <w:tc>
          <w:tcPr>
            <w:tcW w:w="95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提供待遇</w:t>
            </w:r>
          </w:p>
        </w:tc>
        <w:tc>
          <w:tcPr>
            <w:tcW w:w="256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企业简介</w:t>
            </w:r>
          </w:p>
        </w:tc>
      </w:tr>
      <w:tr>
        <w:tblPrEx>
          <w:tblLayout w:type="fixed"/>
          <w:tblCellMar>
            <w:top w:w="0" w:type="dxa"/>
            <w:left w:w="0" w:type="dxa"/>
            <w:bottom w:w="0" w:type="dxa"/>
            <w:right w:w="0" w:type="dxa"/>
          </w:tblCellMar>
        </w:tblPrEx>
        <w:trPr>
          <w:trHeight w:val="577" w:hRule="atLeast"/>
        </w:trPr>
        <w:tc>
          <w:tcPr>
            <w:tcW w:w="48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b/>
                <w:i w:val="0"/>
                <w:color w:val="000000"/>
                <w:sz w:val="18"/>
                <w:szCs w:val="18"/>
                <w:u w:val="none"/>
              </w:rPr>
            </w:pPr>
          </w:p>
        </w:tc>
        <w:tc>
          <w:tcPr>
            <w:tcW w:w="84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b/>
                <w:i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b/>
                <w:i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需求岗位</w:t>
            </w:r>
          </w:p>
        </w:tc>
        <w:tc>
          <w:tcPr>
            <w:tcW w:w="241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岗位职责</w:t>
            </w:r>
          </w:p>
        </w:tc>
        <w:tc>
          <w:tcPr>
            <w:tcW w:w="4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需求人数</w:t>
            </w:r>
          </w:p>
        </w:tc>
        <w:tc>
          <w:tcPr>
            <w:tcW w:w="12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专业要求</w:t>
            </w:r>
          </w:p>
        </w:tc>
        <w:tc>
          <w:tcPr>
            <w:tcW w:w="9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学历要求</w:t>
            </w: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职称或执业资格证书要求</w:t>
            </w:r>
          </w:p>
        </w:tc>
        <w:tc>
          <w:tcPr>
            <w:tcW w:w="107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b/>
                <w:i w:val="0"/>
                <w:color w:val="000000"/>
                <w:sz w:val="18"/>
                <w:szCs w:val="18"/>
                <w:u w:val="none"/>
              </w:rPr>
            </w:pPr>
            <w:r>
              <w:rPr>
                <w:rFonts w:hint="default" w:ascii="Times New Roman" w:hAnsi="Times New Roman" w:eastAsia="方正仿宋_GBK" w:cs="Times New Roman"/>
                <w:b/>
                <w:i w:val="0"/>
                <w:color w:val="000000"/>
                <w:kern w:val="0"/>
                <w:sz w:val="18"/>
                <w:szCs w:val="18"/>
                <w:u w:val="none"/>
                <w:lang w:val="en-US" w:eastAsia="zh-CN" w:bidi="ar"/>
              </w:rPr>
              <w:t>其他要求</w:t>
            </w:r>
          </w:p>
        </w:tc>
        <w:tc>
          <w:tcPr>
            <w:tcW w:w="95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b/>
                <w:i w:val="0"/>
                <w:color w:val="000000"/>
                <w:sz w:val="18"/>
                <w:szCs w:val="18"/>
                <w:u w:val="none"/>
              </w:rPr>
            </w:pPr>
          </w:p>
        </w:tc>
        <w:tc>
          <w:tcPr>
            <w:tcW w:w="2561" w:type="dxa"/>
            <w:gridSpan w:val="2"/>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b/>
                <w:i w:val="0"/>
                <w:color w:val="000000"/>
                <w:sz w:val="18"/>
                <w:szCs w:val="18"/>
                <w:u w:val="none"/>
              </w:rPr>
            </w:pPr>
          </w:p>
        </w:tc>
      </w:tr>
      <w:tr>
        <w:tblPrEx>
          <w:tblLayout w:type="fixed"/>
          <w:tblCellMar>
            <w:top w:w="0" w:type="dxa"/>
            <w:left w:w="0" w:type="dxa"/>
            <w:bottom w:w="0" w:type="dxa"/>
            <w:right w:w="0" w:type="dxa"/>
          </w:tblCellMar>
        </w:tblPrEx>
        <w:trPr>
          <w:trHeight w:val="1369" w:hRule="atLeast"/>
        </w:trPr>
        <w:tc>
          <w:tcPr>
            <w:tcW w:w="48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1</w:t>
            </w:r>
          </w:p>
        </w:tc>
        <w:tc>
          <w:tcPr>
            <w:tcW w:w="84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tabs>
                <w:tab w:val="left" w:pos="348"/>
              </w:tabs>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kern w:val="0"/>
                <w:sz w:val="18"/>
                <w:szCs w:val="18"/>
                <w:u w:val="none"/>
                <w:lang w:val="en-US" w:eastAsia="zh-CN" w:bidi="ar"/>
              </w:rPr>
            </w:pPr>
            <w:r>
              <w:rPr>
                <w:rFonts w:hint="eastAsia" w:ascii="Times New Roman" w:hAnsi="Times New Roman" w:eastAsia="方正仿宋_GBK" w:cs="Times New Roman"/>
                <w:i w:val="0"/>
                <w:color w:val="000000"/>
                <w:kern w:val="0"/>
                <w:sz w:val="18"/>
                <w:szCs w:val="18"/>
                <w:u w:val="none"/>
                <w:lang w:val="en-US" w:eastAsia="zh-CN" w:bidi="ar"/>
              </w:rPr>
              <w:t>中共邻水县国有企业工作委员会</w:t>
            </w:r>
          </w:p>
        </w:tc>
        <w:tc>
          <w:tcPr>
            <w:tcW w:w="516"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县国投公司</w:t>
            </w:r>
          </w:p>
        </w:tc>
        <w:tc>
          <w:tcPr>
            <w:tcW w:w="50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工程造价</w:t>
            </w:r>
          </w:p>
        </w:tc>
        <w:tc>
          <w:tcPr>
            <w:tcW w:w="241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政府投资工程建设项目概（估）算、预算、结（决）算审核</w:t>
            </w:r>
          </w:p>
        </w:tc>
        <w:tc>
          <w:tcPr>
            <w:tcW w:w="4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highlight w:val="none"/>
                <w:u w:val="none"/>
              </w:rPr>
            </w:pPr>
            <w:r>
              <w:rPr>
                <w:rFonts w:hint="default" w:ascii="Times New Roman" w:hAnsi="Times New Roman" w:eastAsia="方正仿宋_GBK" w:cs="Times New Roman"/>
                <w:i w:val="0"/>
                <w:color w:val="000000"/>
                <w:kern w:val="0"/>
                <w:sz w:val="18"/>
                <w:szCs w:val="18"/>
                <w:highlight w:val="none"/>
                <w:u w:val="none"/>
                <w:lang w:val="en-US" w:eastAsia="zh-CN" w:bidi="ar"/>
              </w:rPr>
              <w:t>1</w:t>
            </w:r>
          </w:p>
        </w:tc>
        <w:tc>
          <w:tcPr>
            <w:tcW w:w="12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highlight w:val="none"/>
                <w:u w:val="none"/>
              </w:rPr>
            </w:pPr>
            <w:r>
              <w:rPr>
                <w:rFonts w:hint="default" w:ascii="Times New Roman" w:hAnsi="Times New Roman" w:eastAsia="方正仿宋_GBK" w:cs="Times New Roman"/>
                <w:i w:val="0"/>
                <w:color w:val="000000"/>
                <w:kern w:val="0"/>
                <w:sz w:val="18"/>
                <w:szCs w:val="18"/>
                <w:highlight w:val="none"/>
                <w:u w:val="none"/>
                <w:lang w:val="en-US" w:eastAsia="zh-CN" w:bidi="ar"/>
              </w:rPr>
              <w:t>公路、水利等行业工程</w:t>
            </w:r>
          </w:p>
        </w:tc>
        <w:tc>
          <w:tcPr>
            <w:tcW w:w="9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highlight w:val="none"/>
                <w:u w:val="none"/>
              </w:rPr>
            </w:pPr>
            <w:r>
              <w:rPr>
                <w:rFonts w:hint="default" w:ascii="Times New Roman" w:hAnsi="Times New Roman" w:eastAsia="方正仿宋_GBK" w:cs="Times New Roman"/>
                <w:i w:val="0"/>
                <w:color w:val="000000"/>
                <w:kern w:val="0"/>
                <w:sz w:val="18"/>
                <w:szCs w:val="18"/>
                <w:highlight w:val="none"/>
                <w:u w:val="none"/>
                <w:lang w:val="en-US" w:eastAsia="zh-CN" w:bidi="ar"/>
              </w:rPr>
              <w:t>全日制本科以上</w:t>
            </w: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highlight w:val="none"/>
                <w:u w:val="none"/>
              </w:rPr>
            </w:pPr>
            <w:r>
              <w:rPr>
                <w:rFonts w:hint="default" w:ascii="Times New Roman" w:hAnsi="Times New Roman" w:eastAsia="方正仿宋_GBK" w:cs="Times New Roman"/>
                <w:i w:val="0"/>
                <w:color w:val="000000"/>
                <w:kern w:val="0"/>
                <w:sz w:val="18"/>
                <w:szCs w:val="18"/>
                <w:highlight w:val="none"/>
                <w:u w:val="none"/>
                <w:lang w:val="en-US" w:eastAsia="zh-CN" w:bidi="ar"/>
              </w:rPr>
              <w:t>公路、水利等相关专业行业工程造价师，取得相关专业高级技术职称</w:t>
            </w:r>
          </w:p>
        </w:tc>
        <w:tc>
          <w:tcPr>
            <w:tcW w:w="107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highlight w:val="none"/>
                <w:u w:val="none"/>
              </w:rPr>
            </w:pPr>
            <w:r>
              <w:rPr>
                <w:rFonts w:hint="default" w:ascii="Times New Roman" w:hAnsi="Times New Roman" w:eastAsia="方正仿宋_GBK" w:cs="Times New Roman"/>
                <w:i w:val="0"/>
                <w:color w:val="000000"/>
                <w:kern w:val="0"/>
                <w:sz w:val="18"/>
                <w:szCs w:val="18"/>
                <w:highlight w:val="none"/>
                <w:u w:val="none"/>
                <w:lang w:val="en-US" w:eastAsia="zh-CN" w:bidi="ar"/>
              </w:rPr>
              <w:t>从事相关工作10年以上</w:t>
            </w:r>
          </w:p>
        </w:tc>
        <w:tc>
          <w:tcPr>
            <w:tcW w:w="9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highlight w:val="none"/>
                <w:u w:val="none"/>
              </w:rPr>
            </w:pPr>
            <w:r>
              <w:rPr>
                <w:rFonts w:hint="default" w:ascii="Times New Roman" w:hAnsi="Times New Roman" w:eastAsia="方正仿宋_GBK" w:cs="Times New Roman"/>
                <w:i w:val="0"/>
                <w:color w:val="000000"/>
                <w:kern w:val="0"/>
                <w:sz w:val="18"/>
                <w:szCs w:val="18"/>
                <w:highlight w:val="none"/>
                <w:u w:val="none"/>
                <w:lang w:val="en-US" w:eastAsia="zh-CN" w:bidi="ar"/>
              </w:rPr>
              <w:t>年薪12万以上</w:t>
            </w:r>
          </w:p>
        </w:tc>
        <w:tc>
          <w:tcPr>
            <w:tcW w:w="2561"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主要经营与管理县政府授权的国有资产，对财政有偿使用资金转移投资，对持有股权进行转让，对外担保，劳务派遣，劳务培训，安保服务，投融资管理，基金引进与管理等,下设3家子公司</w:t>
            </w:r>
            <w:r>
              <w:rPr>
                <w:rFonts w:hint="eastAsia" w:ascii="Times New Roman" w:hAnsi="Times New Roman" w:eastAsia="方正仿宋_GBK" w:cs="Times New Roman"/>
                <w:i w:val="0"/>
                <w:color w:val="000000"/>
                <w:kern w:val="0"/>
                <w:sz w:val="18"/>
                <w:szCs w:val="18"/>
                <w:u w:val="none"/>
                <w:lang w:val="en-US" w:eastAsia="zh-CN" w:bidi="ar"/>
              </w:rPr>
              <w:t>。</w:t>
            </w:r>
          </w:p>
        </w:tc>
      </w:tr>
      <w:tr>
        <w:tblPrEx>
          <w:tblLayout w:type="fixed"/>
          <w:tblCellMar>
            <w:top w:w="0" w:type="dxa"/>
            <w:left w:w="0" w:type="dxa"/>
            <w:bottom w:w="0" w:type="dxa"/>
            <w:right w:w="0" w:type="dxa"/>
          </w:tblCellMar>
        </w:tblPrEx>
        <w:trPr>
          <w:trHeight w:val="90" w:hRule="atLeast"/>
        </w:trPr>
        <w:tc>
          <w:tcPr>
            <w:tcW w:w="48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i w:val="0"/>
                <w:color w:val="000000"/>
                <w:sz w:val="18"/>
                <w:szCs w:val="18"/>
                <w:u w:val="none"/>
              </w:rPr>
            </w:pPr>
          </w:p>
        </w:tc>
        <w:tc>
          <w:tcPr>
            <w:tcW w:w="847"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i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i w:val="0"/>
                <w:color w:val="000000"/>
                <w:sz w:val="18"/>
                <w:szCs w:val="18"/>
                <w:u w:val="none"/>
              </w:rPr>
            </w:pPr>
          </w:p>
        </w:tc>
        <w:tc>
          <w:tcPr>
            <w:tcW w:w="50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i w:val="0"/>
                <w:color w:val="000000"/>
                <w:sz w:val="18"/>
                <w:szCs w:val="18"/>
                <w:u w:val="none"/>
              </w:rPr>
            </w:pPr>
          </w:p>
        </w:tc>
        <w:tc>
          <w:tcPr>
            <w:tcW w:w="241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i w:val="0"/>
                <w:color w:val="000000"/>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1</w:t>
            </w:r>
          </w:p>
        </w:tc>
        <w:tc>
          <w:tcPr>
            <w:tcW w:w="12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安装工程相关专业</w:t>
            </w:r>
          </w:p>
        </w:tc>
        <w:tc>
          <w:tcPr>
            <w:tcW w:w="9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大学本科及以上</w:t>
            </w: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注册造价师</w:t>
            </w:r>
          </w:p>
        </w:tc>
        <w:tc>
          <w:tcPr>
            <w:tcW w:w="107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从事相关专业10年以上</w:t>
            </w:r>
          </w:p>
        </w:tc>
        <w:tc>
          <w:tcPr>
            <w:tcW w:w="9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年薪12万以上</w:t>
            </w:r>
          </w:p>
        </w:tc>
        <w:tc>
          <w:tcPr>
            <w:tcW w:w="2561"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jc w:val="center"/>
              <w:rPr>
                <w:rFonts w:hint="default" w:ascii="Times New Roman" w:hAnsi="Times New Roman" w:eastAsia="方正仿宋_GBK" w:cs="Times New Roman"/>
                <w:i w:val="0"/>
                <w:color w:val="000000"/>
                <w:sz w:val="18"/>
                <w:szCs w:val="18"/>
                <w:u w:val="none"/>
              </w:rPr>
            </w:pPr>
          </w:p>
        </w:tc>
      </w:tr>
      <w:tr>
        <w:tblPrEx>
          <w:tblLayout w:type="fixed"/>
          <w:tblCellMar>
            <w:top w:w="0" w:type="dxa"/>
            <w:left w:w="0" w:type="dxa"/>
            <w:bottom w:w="0" w:type="dxa"/>
            <w:right w:w="0" w:type="dxa"/>
          </w:tblCellMar>
        </w:tblPrEx>
        <w:trPr>
          <w:trHeight w:val="4081" w:hRule="atLeast"/>
        </w:trPr>
        <w:tc>
          <w:tcPr>
            <w:tcW w:w="48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2</w:t>
            </w:r>
          </w:p>
        </w:tc>
        <w:tc>
          <w:tcPr>
            <w:tcW w:w="8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kern w:val="0"/>
                <w:sz w:val="18"/>
                <w:szCs w:val="18"/>
                <w:u w:val="none"/>
                <w:lang w:val="en-US" w:eastAsia="zh-CN" w:bidi="ar"/>
              </w:rPr>
            </w:pPr>
            <w:r>
              <w:rPr>
                <w:rFonts w:hint="eastAsia" w:ascii="Times New Roman" w:hAnsi="Times New Roman" w:eastAsia="方正仿宋_GBK" w:cs="Times New Roman"/>
                <w:i w:val="0"/>
                <w:color w:val="000000"/>
                <w:kern w:val="0"/>
                <w:sz w:val="18"/>
                <w:szCs w:val="18"/>
                <w:u w:val="none"/>
                <w:lang w:val="en-US" w:eastAsia="zh-CN" w:bidi="ar"/>
              </w:rPr>
              <w:t>中共邻水县国有企业工作委员会</w:t>
            </w:r>
          </w:p>
        </w:tc>
        <w:tc>
          <w:tcPr>
            <w:tcW w:w="5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县交投公司（华盛建筑）</w:t>
            </w:r>
          </w:p>
        </w:tc>
        <w:tc>
          <w:tcPr>
            <w:tcW w:w="5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注册二级建造师</w:t>
            </w:r>
          </w:p>
        </w:tc>
        <w:tc>
          <w:tcPr>
            <w:tcW w:w="241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制订工程管理的各项规章制度; 对项目的安全、质量、进度和成本负责; 负责工程施工、安装、调试过程管理;确保监控现场施工过程符合施工进度计划及规范;负责工程主管部门以及各分包商、供货商的协调工作; 审核现场施工变更,进行现场签证管理; 审核合同规定的工程进度款支付工程量</w:t>
            </w:r>
          </w:p>
        </w:tc>
        <w:tc>
          <w:tcPr>
            <w:tcW w:w="4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1</w:t>
            </w:r>
          </w:p>
        </w:tc>
        <w:tc>
          <w:tcPr>
            <w:tcW w:w="12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 xml:space="preserve">土木工程，给水排水工程，道路与桥梁工程，交通土建工程 </w:t>
            </w:r>
          </w:p>
        </w:tc>
        <w:tc>
          <w:tcPr>
            <w:tcW w:w="9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全日制本科以上</w:t>
            </w: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注册二级建造师及以上</w:t>
            </w:r>
          </w:p>
        </w:tc>
        <w:tc>
          <w:tcPr>
            <w:tcW w:w="107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从事相关工作3年以上</w:t>
            </w:r>
          </w:p>
        </w:tc>
        <w:tc>
          <w:tcPr>
            <w:tcW w:w="9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每月6000-8000</w:t>
            </w:r>
          </w:p>
        </w:tc>
        <w:tc>
          <w:tcPr>
            <w:tcW w:w="256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邻水县华盛建筑工程有限公司是经邻水县人民政府批准设立的国有的工程建筑公司（邻府发〔2013〕26号文件批复），隶属于邻水县交通投资集团有限公司。公司于2013年6月13日依法登记注册，具有独立法人资格，具备公路工程及市政公用工程施工总承包叁级资质；经营范围：公路工程服务、公路工程设施、市政道路服务、其他市政工程建筑、客运等候及指挥用房屋建筑物、水运工程服务、港口与航道设施建筑工程等相关业务、从事建筑劳务分包作业</w:t>
            </w:r>
            <w:r>
              <w:rPr>
                <w:rFonts w:hint="eastAsia" w:ascii="Times New Roman" w:hAnsi="Times New Roman" w:eastAsia="方正仿宋_GBK" w:cs="Times New Roman"/>
                <w:i w:val="0"/>
                <w:color w:val="000000"/>
                <w:kern w:val="0"/>
                <w:sz w:val="18"/>
                <w:szCs w:val="18"/>
                <w:u w:val="none"/>
                <w:lang w:val="en-US" w:eastAsia="zh-CN" w:bidi="ar"/>
              </w:rPr>
              <w:t>。</w:t>
            </w:r>
          </w:p>
        </w:tc>
      </w:tr>
      <w:tr>
        <w:tblPrEx>
          <w:tblLayout w:type="fixed"/>
          <w:tblCellMar>
            <w:top w:w="0" w:type="dxa"/>
            <w:left w:w="0" w:type="dxa"/>
            <w:bottom w:w="0" w:type="dxa"/>
            <w:right w:w="0" w:type="dxa"/>
          </w:tblCellMar>
        </w:tblPrEx>
        <w:trPr>
          <w:trHeight w:val="500" w:hRule="atLeast"/>
        </w:trPr>
        <w:tc>
          <w:tcPr>
            <w:tcW w:w="48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default" w:ascii="Times New Roman" w:hAnsi="Times New Roman" w:eastAsia="方正仿宋_GBK" w:cs="Times New Roman"/>
                <w:i w:val="0"/>
                <w:color w:val="000000"/>
                <w:kern w:val="0"/>
                <w:sz w:val="18"/>
                <w:szCs w:val="18"/>
                <w:u w:val="none"/>
                <w:lang w:val="en-US" w:eastAsia="zh-CN" w:bidi="ar"/>
              </w:rPr>
              <w:t>合计</w:t>
            </w:r>
          </w:p>
        </w:tc>
        <w:tc>
          <w:tcPr>
            <w:tcW w:w="84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rPr>
                <w:rFonts w:hint="default" w:ascii="Times New Roman" w:hAnsi="Times New Roman" w:eastAsia="方正仿宋_GBK" w:cs="Times New Roman"/>
                <w:i w:val="0"/>
                <w:color w:val="000000"/>
                <w:sz w:val="18"/>
                <w:szCs w:val="18"/>
                <w:u w:val="none"/>
              </w:rPr>
            </w:pPr>
          </w:p>
        </w:tc>
        <w:tc>
          <w:tcPr>
            <w:tcW w:w="51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rPr>
                <w:rFonts w:hint="default" w:ascii="Times New Roman" w:hAnsi="Times New Roman" w:eastAsia="方正仿宋_GBK" w:cs="Times New Roman"/>
                <w:i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rPr>
                <w:rFonts w:hint="default" w:ascii="Times New Roman" w:hAnsi="Times New Roman" w:eastAsia="方正仿宋_GBK" w:cs="Times New Roman"/>
                <w:i w:val="0"/>
                <w:color w:val="000000"/>
                <w:sz w:val="18"/>
                <w:szCs w:val="18"/>
                <w:u w:val="none"/>
              </w:rPr>
            </w:pPr>
          </w:p>
        </w:tc>
        <w:tc>
          <w:tcPr>
            <w:tcW w:w="24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rPr>
                <w:rFonts w:hint="default" w:ascii="Times New Roman" w:hAnsi="Times New Roman" w:eastAsia="方正仿宋_GBK" w:cs="Times New Roman"/>
                <w:i w:val="0"/>
                <w:color w:val="000000"/>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imes New Roman" w:hAnsi="Times New Roman" w:eastAsia="方正仿宋_GBK" w:cs="Times New Roman"/>
                <w:i w:val="0"/>
                <w:color w:val="000000"/>
                <w:sz w:val="18"/>
                <w:szCs w:val="18"/>
                <w:u w:val="none"/>
              </w:rPr>
            </w:pPr>
            <w:r>
              <w:rPr>
                <w:rFonts w:hint="eastAsia" w:ascii="Times New Roman" w:hAnsi="Times New Roman" w:eastAsia="方正仿宋_GBK" w:cs="Times New Roman"/>
                <w:i w:val="0"/>
                <w:color w:val="000000"/>
                <w:kern w:val="0"/>
                <w:sz w:val="18"/>
                <w:szCs w:val="18"/>
                <w:u w:val="none"/>
                <w:lang w:val="en-US" w:eastAsia="zh-CN" w:bidi="ar"/>
              </w:rPr>
              <w:t>3</w:t>
            </w:r>
          </w:p>
        </w:tc>
        <w:tc>
          <w:tcPr>
            <w:tcW w:w="12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rPr>
                <w:rFonts w:hint="default" w:ascii="Times New Roman" w:hAnsi="Times New Roman" w:eastAsia="方正仿宋_GBK" w:cs="Times New Roman"/>
                <w:i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rPr>
                <w:rFonts w:hint="default" w:ascii="Times New Roman" w:hAnsi="Times New Roman" w:eastAsia="方正仿宋_GBK" w:cs="Times New Roman"/>
                <w:i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rPr>
                <w:rFonts w:hint="default" w:ascii="Times New Roman" w:hAnsi="Times New Roman" w:eastAsia="方正仿宋_GBK" w:cs="Times New Roman"/>
                <w:i w:val="0"/>
                <w:color w:val="000000"/>
                <w:sz w:val="18"/>
                <w:szCs w:val="18"/>
                <w:u w:val="none"/>
              </w:rPr>
            </w:pPr>
          </w:p>
        </w:tc>
        <w:tc>
          <w:tcPr>
            <w:tcW w:w="10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rPr>
                <w:rFonts w:hint="default" w:ascii="Times New Roman" w:hAnsi="Times New Roman" w:eastAsia="方正仿宋_GBK" w:cs="Times New Roman"/>
                <w:i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rPr>
                <w:rFonts w:hint="default" w:ascii="Times New Roman" w:hAnsi="Times New Roman" w:eastAsia="方正仿宋_GBK" w:cs="Times New Roman"/>
                <w:i w:val="0"/>
                <w:color w:val="000000"/>
                <w:sz w:val="18"/>
                <w:szCs w:val="18"/>
                <w:u w:val="none"/>
              </w:rPr>
            </w:pPr>
          </w:p>
        </w:tc>
        <w:tc>
          <w:tcPr>
            <w:tcW w:w="256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rPr>
                <w:rFonts w:hint="default" w:ascii="Times New Roman" w:hAnsi="Times New Roman" w:eastAsia="方正仿宋_GBK" w:cs="Times New Roman"/>
                <w:i w:val="0"/>
                <w:color w:val="000000"/>
                <w:sz w:val="18"/>
                <w:szCs w:val="18"/>
                <w:u w:val="none"/>
              </w:rPr>
            </w:pPr>
          </w:p>
        </w:tc>
      </w:tr>
    </w:tbl>
    <w:p/>
    <w:sectPr>
      <w:pgSz w:w="16838" w:h="11906" w:orient="landscape"/>
      <w:pgMar w:top="1531" w:right="2041" w:bottom="1531" w:left="1701"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1F4894"/>
    <w:rsid w:val="46B17F46"/>
    <w:rsid w:val="4C7038E0"/>
    <w:rsid w:val="7087322F"/>
    <w:rsid w:val="751F4894"/>
    <w:rsid w:val="769546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90" w:lineRule="exact"/>
      <w:ind w:firstLine="720" w:firstLineChars="200"/>
      <w:outlineLvl w:val="0"/>
    </w:pPr>
    <w:rPr>
      <w:rFonts w:ascii="Times New Roman" w:hAnsi="Times New Roman" w:eastAsia="方正黑体_GBK" w:cs="Times New Roman"/>
      <w:kern w:val="44"/>
      <w:sz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590" w:lineRule="exact"/>
      <w:ind w:firstLine="720" w:firstLineChars="200"/>
      <w:outlineLvl w:val="1"/>
    </w:pPr>
    <w:rPr>
      <w:rFonts w:ascii="Times New Roman" w:hAnsi="Times New Roman" w:eastAsia="方正楷体_GBK" w:cs="Times New Roman"/>
      <w:b/>
      <w:sz w:val="33"/>
    </w:rPr>
  </w:style>
  <w:style w:type="paragraph" w:styleId="4">
    <w:name w:val="heading 3"/>
    <w:basedOn w:val="1"/>
    <w:next w:val="1"/>
    <w:semiHidden/>
    <w:unhideWhenUsed/>
    <w:qFormat/>
    <w:uiPriority w:val="0"/>
    <w:pPr>
      <w:keepNext/>
      <w:keepLines/>
      <w:spacing w:before="260" w:beforeLines="0" w:beforeAutospacing="0" w:after="260" w:afterLines="0" w:afterAutospacing="0" w:line="590" w:lineRule="exact"/>
      <w:ind w:firstLine="720" w:firstLineChars="200"/>
      <w:outlineLvl w:val="2"/>
    </w:pPr>
    <w:rPr>
      <w:rFonts w:ascii="Times New Roman" w:hAnsi="Times New Roman" w:eastAsia="方正仿宋_GBK" w:cs="Times New Roman"/>
      <w:b/>
      <w:sz w:val="33"/>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2019-06-03T00:45:00Z</dcterms:created>
  <dc:creator>钦不语</dc:creator>
  <cp:lastModifiedBy>钦不语</cp:lastModifiedBy>
  <dcterms:modified xsi:type="dcterms:W3CDTF">2019-06-03T00:46:01Z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