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7"/>
        <w:gridCol w:w="1433"/>
        <w:gridCol w:w="251"/>
        <w:gridCol w:w="1492"/>
        <w:gridCol w:w="4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0" w:hRule="atLeast"/>
        </w:trPr>
        <w:tc>
          <w:tcPr>
            <w:tcW w:w="0" w:type="auto"/>
            <w:gridSpan w:val="5"/>
            <w:tcBorders>
              <w:top w:val="nil"/>
              <w:left w:val="nil"/>
              <w:bottom w:val="single" w:color="auto" w:sz="8" w:space="0"/>
              <w:right w:val="nil"/>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cursive" w:hAnsi="cursive" w:eastAsia="cursive" w:cs="cursive"/>
                <w:i w:val="0"/>
                <w:color w:val="000000"/>
                <w:sz w:val="24"/>
                <w:szCs w:val="24"/>
                <w:u w:val="none"/>
              </w:rPr>
            </w:pPr>
            <w:r>
              <w:rPr>
                <w:rFonts w:hint="default" w:ascii="cursive" w:hAnsi="cursive" w:eastAsia="cursive" w:cs="cursive"/>
                <w:i w:val="0"/>
                <w:color w:val="000000"/>
                <w:kern w:val="0"/>
                <w:sz w:val="24"/>
                <w:szCs w:val="24"/>
                <w:u w:val="none"/>
                <w:bdr w:val="none" w:color="auto" w:sz="0" w:space="0"/>
                <w:lang w:val="en-US" w:eastAsia="zh-CN" w:bidi="ar"/>
              </w:rPr>
              <w:t>成都市郫都区妇幼保健院公开招聘编外人员人才需求情况表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方正黑体简体" w:hAnsi="方正黑体简体" w:eastAsia="方正黑体简体" w:cs="方正黑体简体"/>
                <w:i w:val="0"/>
                <w:color w:val="000000"/>
                <w:sz w:val="20"/>
                <w:szCs w:val="20"/>
                <w:u w:val="none"/>
              </w:rPr>
            </w:pPr>
            <w:r>
              <w:rPr>
                <w:rFonts w:hint="default" w:ascii="方正黑体简体" w:hAnsi="方正黑体简体" w:eastAsia="方正黑体简体" w:cs="方正黑体简体"/>
                <w:i w:val="0"/>
                <w:color w:val="000000"/>
                <w:kern w:val="0"/>
                <w:sz w:val="20"/>
                <w:szCs w:val="20"/>
                <w:u w:val="none"/>
                <w:bdr w:val="none" w:color="auto" w:sz="0" w:space="0"/>
                <w:lang w:val="en-US" w:eastAsia="zh-CN" w:bidi="ar"/>
              </w:rPr>
              <w:t>序号</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黑体简体" w:hAnsi="方正黑体简体" w:eastAsia="方正黑体简体" w:cs="方正黑体简体"/>
                <w:i w:val="0"/>
                <w:color w:val="000000"/>
                <w:sz w:val="20"/>
                <w:szCs w:val="20"/>
                <w:u w:val="none"/>
              </w:rPr>
            </w:pPr>
            <w:r>
              <w:rPr>
                <w:rFonts w:hint="default" w:ascii="方正黑体简体" w:hAnsi="方正黑体简体" w:eastAsia="方正黑体简体" w:cs="方正黑体简体"/>
                <w:i w:val="0"/>
                <w:color w:val="000000"/>
                <w:kern w:val="0"/>
                <w:sz w:val="20"/>
                <w:szCs w:val="20"/>
                <w:u w:val="none"/>
                <w:bdr w:val="none" w:color="auto" w:sz="0" w:space="0"/>
                <w:lang w:val="en-US" w:eastAsia="zh-CN" w:bidi="ar"/>
              </w:rPr>
              <w:t>需求岗位</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黑体简体" w:hAnsi="方正黑体简体" w:eastAsia="方正黑体简体" w:cs="方正黑体简体"/>
                <w:i w:val="0"/>
                <w:color w:val="000000"/>
                <w:sz w:val="20"/>
                <w:szCs w:val="20"/>
                <w:u w:val="none"/>
              </w:rPr>
            </w:pPr>
            <w:r>
              <w:rPr>
                <w:rFonts w:hint="default" w:ascii="方正黑体简体" w:hAnsi="方正黑体简体" w:eastAsia="方正黑体简体" w:cs="方正黑体简体"/>
                <w:i w:val="0"/>
                <w:color w:val="000000"/>
                <w:kern w:val="0"/>
                <w:sz w:val="20"/>
                <w:szCs w:val="20"/>
                <w:u w:val="none"/>
                <w:bdr w:val="none" w:color="auto" w:sz="0" w:space="0"/>
                <w:lang w:val="en-US" w:eastAsia="zh-CN" w:bidi="ar"/>
              </w:rPr>
              <w:t>需求人数</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黑体简体" w:hAnsi="方正黑体简体" w:eastAsia="方正黑体简体" w:cs="方正黑体简体"/>
                <w:i w:val="0"/>
                <w:color w:val="000000"/>
                <w:sz w:val="20"/>
                <w:szCs w:val="20"/>
                <w:u w:val="none"/>
              </w:rPr>
            </w:pPr>
            <w:r>
              <w:rPr>
                <w:rFonts w:hint="default" w:ascii="方正黑体简体" w:hAnsi="方正黑体简体" w:eastAsia="方正黑体简体" w:cs="方正黑体简体"/>
                <w:i w:val="0"/>
                <w:color w:val="000000"/>
                <w:kern w:val="0"/>
                <w:sz w:val="20"/>
                <w:szCs w:val="20"/>
                <w:u w:val="none"/>
                <w:bdr w:val="none" w:color="auto" w:sz="0" w:space="0"/>
                <w:lang w:val="en-US" w:eastAsia="zh-CN" w:bidi="ar"/>
              </w:rPr>
              <w:t>需求专业</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方正黑体简体" w:hAnsi="方正黑体简体" w:eastAsia="方正黑体简体" w:cs="方正黑体简体"/>
                <w:i w:val="0"/>
                <w:color w:val="000000"/>
                <w:sz w:val="20"/>
                <w:szCs w:val="20"/>
                <w:u w:val="none"/>
              </w:rPr>
            </w:pPr>
            <w:r>
              <w:rPr>
                <w:rFonts w:hint="default" w:ascii="方正黑体简体" w:hAnsi="方正黑体简体" w:eastAsia="方正黑体简体" w:cs="方正黑体简体"/>
                <w:i w:val="0"/>
                <w:color w:val="000000"/>
                <w:kern w:val="0"/>
                <w:sz w:val="20"/>
                <w:szCs w:val="20"/>
                <w:u w:val="none"/>
                <w:bdr w:val="none" w:color="auto" w:sz="0" w:space="0"/>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70"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妇产科医师</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临床医学、妇产科学</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1.2019年毕业的须持与报考专业相符的全日制本科及以上学历；2018年（含2018年）前毕业的须持须持《执业医师资格证书》</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2.取得中级及以上与专业相符的资格证书者学历可放宽到国民教育本科。</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3.执业类别：临床；执业范围：妇产科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0"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儿科医师</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临床医学、儿科学</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1.2019年毕业的须持与报考专业相符的全日制本科及以上学历；2018年（含2018年）前毕业的须持须持《执业医师资格证书》。</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2.取得中级及以上与专业相符的资格证书者学历可放宽到国民教育本科。</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3.执业类别：临床；执业范围：儿科。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2" w:hRule="atLeast"/>
        </w:trPr>
        <w:tc>
          <w:tcPr>
            <w:tcW w:w="0" w:type="auto"/>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0" w:type="auto"/>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营养师</w:t>
            </w:r>
          </w:p>
        </w:tc>
        <w:tc>
          <w:tcPr>
            <w:tcW w:w="0" w:type="auto"/>
            <w:vMerge w:val="restart"/>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临床医学、中西医结合</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1.全日制本科及以上学历；须持《执业医师资格证书》及《营养师证 》。</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2.取得中级及以上与专业相符的资格证书者学历可放宽到国民教育本科。须持《执业医师资格证书》及《营养师证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2" w:hRule="atLeast"/>
        </w:trPr>
        <w:tc>
          <w:tcPr>
            <w:tcW w:w="0" w:type="auto"/>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0" w:type="auto"/>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0" w:type="auto"/>
            <w:vMerge w:val="continue"/>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公共卫生</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1.全日制硕士研究生及以上学历；须持《执业医师资格证书》及《营养师证 》。</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2.取得中级及以上与专业相符的资格证书者学历可放宽到国民教育本科。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0"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4</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医学影像科医生</w:t>
            </w:r>
            <w:r>
              <w:rPr>
                <w:rFonts w:ascii="微软雅黑" w:hAnsi="微软雅黑" w:eastAsia="微软雅黑" w:cs="微软雅黑"/>
                <w:i w:val="0"/>
                <w:color w:val="000000"/>
                <w:kern w:val="0"/>
                <w:sz w:val="24"/>
                <w:szCs w:val="24"/>
                <w:u w:val="none"/>
                <w:bdr w:val="none" w:color="auto" w:sz="0" w:space="0"/>
                <w:vertAlign w:val="baseline"/>
                <w:lang w:val="en-US" w:eastAsia="zh-CN" w:bidi="ar"/>
              </w:rPr>
              <w:t>         </w:t>
            </w:r>
            <w:r>
              <w:rPr>
                <w:rFonts w:hint="eastAsia" w:ascii="微软雅黑" w:hAnsi="微软雅黑" w:eastAsia="微软雅黑" w:cs="微软雅黑"/>
                <w:i w:val="0"/>
                <w:color w:val="000000"/>
                <w:kern w:val="0"/>
                <w:sz w:val="24"/>
                <w:szCs w:val="24"/>
                <w:u w:val="none"/>
                <w:bdr w:val="none" w:color="auto" w:sz="0" w:space="0"/>
                <w:vertAlign w:val="baseline"/>
                <w:lang w:val="en-US" w:eastAsia="zh-CN" w:bidi="ar"/>
              </w:rPr>
              <w:t> </w:t>
            </w:r>
            <w:r>
              <w:rPr>
                <w:rFonts w:hint="eastAsia" w:ascii="仿宋" w:hAnsi="仿宋" w:eastAsia="仿宋" w:cs="仿宋"/>
                <w:i w:val="0"/>
                <w:color w:val="000000"/>
                <w:kern w:val="0"/>
                <w:sz w:val="20"/>
                <w:szCs w:val="20"/>
                <w:u w:val="none"/>
                <w:bdr w:val="none" w:color="auto" w:sz="0" w:space="0"/>
                <w:lang w:val="en-US" w:eastAsia="zh-CN" w:bidi="ar"/>
              </w:rPr>
              <w:t>（包含放射及超声）</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医学影像专业</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1.2019年毕业的须持与报考专业相符的全日制本科及以上学历；2018年（含2018年）前毕业的须持须持《执业医师资格证书》。</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2.取得中级及以上与专业相符的资格证书者学历可放宽到国民教育本科。</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3.执业类别：临床；执业范围：医学影像与放射治疗。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5</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麻醉医师</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麻醉学专业</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1.全日制本科及以上学历；须持《执业医师资格证书》；执业类别：临床；执业范围：麻醉学；</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   2.取得中级及以上与专业相符的资格证书者学历可放宽到国民教育本科。执业类别：临床；执业范围：麻醉学。</w:t>
            </w:r>
            <w:r>
              <w:rPr>
                <w:rFonts w:hint="eastAsia" w:ascii="微软雅黑" w:hAnsi="微软雅黑" w:eastAsia="微软雅黑" w:cs="微软雅黑"/>
                <w:i w:val="0"/>
                <w:color w:val="000000"/>
                <w:kern w:val="0"/>
                <w:sz w:val="24"/>
                <w:szCs w:val="24"/>
                <w:u w:val="none"/>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0"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6</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皮肤科医师</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临床医学、皮肤学</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1.全日制本科及以上学历；须持《执业医师资格证书》；执业类别：临床；执业范围：皮肤病与性病学；</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2.取得中级及以上与专业相符的资格证书者学历可放宽到国民教育本科。执业类别：临床；执业范围：皮肤病与性病学。</w:t>
            </w:r>
            <w:r>
              <w:rPr>
                <w:rFonts w:hint="eastAsia" w:ascii="微软雅黑" w:hAnsi="微软雅黑" w:eastAsia="微软雅黑" w:cs="微软雅黑"/>
                <w:i w:val="0"/>
                <w:color w:val="000000"/>
                <w:kern w:val="0"/>
                <w:sz w:val="24"/>
                <w:szCs w:val="24"/>
                <w:u w:val="none"/>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9"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7</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临床药师</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临床药学、药学</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1.2019年毕业的须持与报考专业相符的全日制本科及以上学历；2018年（含2018年）前毕业的须持须持与专业相符的资格证。</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2.取得中级及以上与专业相符的资格证书者学历可放宽到国民教育本科。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5"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8</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眼科医师</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临床医学、眼科学</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1.2019年毕业的须持与报考专业相符的全日制本科及以上学历，对资格证不作要求；2018年（含2018年）前毕业的须持须持《执业医师资格证书》。</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2.取得中级及以上与专业相符的资格证书者学历可放宽到国民教育本科。</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3.执业类别：临床；执业范围：眼耳鼻喉科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5"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9</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耳鼻喉科医师</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临床医学、眼耳鼻喉学</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1.2019年毕业的须持与报考专业相符的全日制本科及以上学历，对资格证不作要求；2018年（含2018年）前毕业的须持须持《执业医师资格证书》。</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2.取得中级及以上与专业相符的资格证书者学历可放宽到国民教育本科。</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3.执业类别：临床；执业范围：眼耳鼻喉科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0"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10</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外科医师</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临床医学、外科学</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1.全日制本科及以上学历；须持《执业医师资格证书》；</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2.取得中级及以上与专业相符的资格证书者学历可放宽到国民教育本科。</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3.执业类别：临床；执业范围：外科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55"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内科医师</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临床医学、内科学</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1.全日制本科及以上学历；须持《执业医师资格证书》；执业类别：临床；执业范围：内科；</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2.取得中级及以上与专业相符的资格证书者学历可放宽到国民教育本科。执业类别：临床；执业范围：内科。</w:t>
            </w:r>
            <w:r>
              <w:rPr>
                <w:rFonts w:hint="eastAsia" w:ascii="微软雅黑" w:hAnsi="微软雅黑" w:eastAsia="微软雅黑" w:cs="微软雅黑"/>
                <w:i w:val="0"/>
                <w:color w:val="000000"/>
                <w:kern w:val="0"/>
                <w:sz w:val="24"/>
                <w:szCs w:val="24"/>
                <w:u w:val="none"/>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0"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妇幼管理医师或妇幼保健医生</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临床医学及相关专业</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1.2019年毕业的须持与报考专业相符的全日制本科及以上学历，对资格证不作要求；2018年（含2018年）前毕业的须持须持《执业医师资格证书》。</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2.取得中级及以上与专业相符的资格证书者学历可放宽到国民教育本科。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20"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13</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针灸推拿医师</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3</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针灸推拿专业</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全日制本科及以上学历，须持《执业医师资格证书》；执业类别：中医。</w:t>
            </w:r>
            <w:r>
              <w:rPr>
                <w:rFonts w:hint="eastAsia" w:ascii="微软雅黑" w:hAnsi="微软雅黑" w:eastAsia="微软雅黑" w:cs="微软雅黑"/>
                <w:i w:val="0"/>
                <w:color w:val="000000"/>
                <w:kern w:val="0"/>
                <w:sz w:val="24"/>
                <w:szCs w:val="24"/>
                <w:u w:val="none"/>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9"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14</w:t>
            </w:r>
          </w:p>
        </w:tc>
        <w:tc>
          <w:tcPr>
            <w:tcW w:w="0" w:type="auto"/>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护理</w:t>
            </w:r>
          </w:p>
        </w:tc>
        <w:tc>
          <w:tcPr>
            <w:tcW w:w="0" w:type="auto"/>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护理专业</w:t>
            </w:r>
            <w:r>
              <w:rPr>
                <w:rFonts w:hint="eastAsia" w:ascii="微软雅黑" w:hAnsi="微软雅黑" w:eastAsia="微软雅黑" w:cs="微软雅黑"/>
                <w:i w:val="0"/>
                <w:color w:val="000000"/>
                <w:kern w:val="0"/>
                <w:sz w:val="24"/>
                <w:szCs w:val="24"/>
                <w:u w:val="none"/>
                <w:bdr w:val="none" w:color="auto" w:sz="0" w:space="0"/>
                <w:vertAlign w:val="baseline"/>
                <w:lang w:val="en-US" w:eastAsia="zh-CN" w:bidi="ar"/>
              </w:rPr>
              <w:t>          </w:t>
            </w:r>
            <w:r>
              <w:rPr>
                <w:rFonts w:hint="eastAsia" w:ascii="宋体" w:hAnsi="宋体" w:eastAsia="宋体" w:cs="宋体"/>
                <w:i w:val="0"/>
                <w:color w:val="000000"/>
                <w:kern w:val="0"/>
                <w:sz w:val="20"/>
                <w:szCs w:val="20"/>
                <w:u w:val="none"/>
                <w:bdr w:val="none" w:color="auto" w:sz="0" w:space="0"/>
                <w:lang w:val="en-US" w:eastAsia="zh-CN" w:bidi="ar"/>
              </w:rPr>
              <w:t>（含助产专业）</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1.1.2019年毕业的须持与报考专业相符的全日制本科及以上学历，对资格证不作要求；2018年（含2018年）前毕业的须持须持护士资格证。</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2.高中起点普通高等教育全日制大专及以上学历（不含“3+2”及中专升大专学历），须持护士资格证；</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3.年龄在28岁及以下，身高在158CM及以上；</w:t>
            </w:r>
            <w:r>
              <w:rPr>
                <w:rFonts w:hint="eastAsia" w:ascii="微软雅黑" w:hAnsi="微软雅黑" w:eastAsia="微软雅黑" w:cs="微软雅黑"/>
                <w:i w:val="0"/>
                <w:color w:val="000000"/>
                <w:kern w:val="0"/>
                <w:sz w:val="24"/>
                <w:szCs w:val="24"/>
                <w:u w:val="none"/>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15</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行政办公室人员</w:t>
            </w:r>
          </w:p>
        </w:tc>
        <w:tc>
          <w:tcPr>
            <w:tcW w:w="0" w:type="auto"/>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汉语言文学等文科类专业</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1.全日制研究生及以上学历，年龄需在30岁及以下；</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2.具备计算机操作能力，能熟练使用Word(wps)、Excel等办公软件，具备较强的文字功底、逻辑思辨能力和沟通协调能力。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9"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16</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病案管理员</w:t>
            </w:r>
          </w:p>
        </w:tc>
        <w:tc>
          <w:tcPr>
            <w:tcW w:w="0" w:type="auto"/>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信息管理与信息系统、公共事业管理</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全日制本科及以上学历。</w:t>
            </w:r>
            <w:r>
              <w:rPr>
                <w:rFonts w:hint="eastAsia" w:ascii="微软雅黑" w:hAnsi="微软雅黑" w:eastAsia="微软雅黑" w:cs="微软雅黑"/>
                <w:i w:val="0"/>
                <w:color w:val="000000"/>
                <w:kern w:val="0"/>
                <w:sz w:val="24"/>
                <w:szCs w:val="24"/>
                <w:u w:val="none"/>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9"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17</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病历质控员</w:t>
            </w:r>
          </w:p>
        </w:tc>
        <w:tc>
          <w:tcPr>
            <w:tcW w:w="0" w:type="auto"/>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临床医学专业</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本科及以上学历，须持《执业医师资格证》并具有中级及以上职称。</w:t>
            </w:r>
            <w:r>
              <w:rPr>
                <w:rFonts w:hint="eastAsia" w:ascii="微软雅黑" w:hAnsi="微软雅黑" w:eastAsia="微软雅黑" w:cs="微软雅黑"/>
                <w:i w:val="0"/>
                <w:color w:val="000000"/>
                <w:kern w:val="0"/>
                <w:sz w:val="24"/>
                <w:szCs w:val="24"/>
                <w:u w:val="none"/>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9"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18</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医务科工作人员</w:t>
            </w:r>
          </w:p>
        </w:tc>
        <w:tc>
          <w:tcPr>
            <w:tcW w:w="0" w:type="auto"/>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临床医学专业</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1.全日制本科及以上学历；须持《执业医师资格证书》；</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2.取得中级及以上资格证书者学历可放宽到国民教育本科。须持《执业医师资格证书》；</w:t>
            </w:r>
            <w:r>
              <w:rPr>
                <w:rFonts w:hint="eastAsia" w:ascii="微软雅黑" w:hAnsi="微软雅黑" w:eastAsia="微软雅黑" w:cs="微软雅黑"/>
                <w:i w:val="0"/>
                <w:color w:val="000000"/>
                <w:kern w:val="0"/>
                <w:sz w:val="24"/>
                <w:szCs w:val="24"/>
                <w:u w:val="none"/>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9"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19</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科教科工作人员</w:t>
            </w:r>
          </w:p>
        </w:tc>
        <w:tc>
          <w:tcPr>
            <w:tcW w:w="0" w:type="auto"/>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临床医学类专业、公共事业管理等相关专业</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全日制本科及以上学历，年龄在35岁及以下。</w:t>
            </w:r>
            <w:r>
              <w:rPr>
                <w:rFonts w:hint="eastAsia" w:ascii="微软雅黑" w:hAnsi="微软雅黑" w:eastAsia="微软雅黑" w:cs="微软雅黑"/>
                <w:i w:val="0"/>
                <w:color w:val="000000"/>
                <w:kern w:val="0"/>
                <w:sz w:val="24"/>
                <w:szCs w:val="24"/>
                <w:u w:val="none"/>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9"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信息科工作人员</w:t>
            </w:r>
          </w:p>
        </w:tc>
        <w:tc>
          <w:tcPr>
            <w:tcW w:w="0" w:type="auto"/>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计算机科学与技术、信息安全网络工程、计算机应用等相关专业</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1.国民教育本科及以上学历，年龄在35岁及以下。</w:t>
            </w:r>
            <w:r>
              <w:rPr>
                <w:rFonts w:hint="eastAsia" w:ascii="仿宋" w:hAnsi="仿宋" w:eastAsia="仿宋" w:cs="仿宋"/>
                <w:i w:val="0"/>
                <w:color w:val="000000"/>
                <w:kern w:val="0"/>
                <w:sz w:val="20"/>
                <w:szCs w:val="20"/>
                <w:u w:val="none"/>
                <w:bdr w:val="none" w:color="auto" w:sz="0" w:space="0"/>
                <w:lang w:val="en-US" w:eastAsia="zh-CN" w:bidi="ar"/>
              </w:rPr>
              <w:br w:type="textWrapping"/>
            </w:r>
            <w:r>
              <w:rPr>
                <w:rFonts w:hint="eastAsia" w:ascii="仿宋" w:hAnsi="仿宋" w:eastAsia="仿宋" w:cs="仿宋"/>
                <w:i w:val="0"/>
                <w:color w:val="000000"/>
                <w:kern w:val="0"/>
                <w:sz w:val="20"/>
                <w:szCs w:val="20"/>
                <w:u w:val="none"/>
                <w:bdr w:val="none" w:color="auto" w:sz="0" w:space="0"/>
                <w:lang w:val="en-US" w:eastAsia="zh-CN" w:bidi="ar"/>
              </w:rPr>
              <w:t>2.熟练掌握oracle数据库、网络维护等技术。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9" w:hRule="atLeast"/>
        </w:trPr>
        <w:tc>
          <w:tcPr>
            <w:tcW w:w="0" w:type="auto"/>
            <w:tcBorders>
              <w:top w:val="nil"/>
              <w:left w:val="single" w:color="auto" w:sz="8" w:space="0"/>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21</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设备维修工作人员</w:t>
            </w:r>
          </w:p>
        </w:tc>
        <w:tc>
          <w:tcPr>
            <w:tcW w:w="0" w:type="auto"/>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设备维修相关专业</w:t>
            </w:r>
          </w:p>
        </w:tc>
        <w:tc>
          <w:tcPr>
            <w:tcW w:w="0" w:type="auto"/>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国民教育本科及以上学历。</w:t>
            </w:r>
            <w:r>
              <w:rPr>
                <w:rFonts w:hint="eastAsia" w:ascii="微软雅黑" w:hAnsi="微软雅黑" w:eastAsia="微软雅黑" w:cs="微软雅黑"/>
                <w:i w:val="0"/>
                <w:color w:val="000000"/>
                <w:kern w:val="0"/>
                <w:sz w:val="24"/>
                <w:szCs w:val="24"/>
                <w:u w:val="none"/>
                <w:bdr w:val="none" w:color="auto" w:sz="0" w:space="0"/>
                <w:vertAlign w:val="baseline"/>
                <w:lang w:val="en-US" w:eastAsia="zh-CN" w:bidi="ar"/>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cursiv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方正黑体简体">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233A7"/>
    <w:rsid w:val="25E2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2019-11-21T09:53:00Z</dcterms:created>
  <dc:creator>小师</dc:creator>
  <cp:lastModifiedBy>小师</cp:lastModifiedBy>
  <dcterms:modified xsi:type="dcterms:W3CDTF">2019-11-21T10:19:12Z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