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 w:val="0"/>
        <w:spacing w:before="0" w:beforeAutospacing="1" w:after="0" w:afterAutospacing="1" w:line="480" w:lineRule="auto"/>
        <w:ind w:left="480" w:right="0" w:hanging="480"/>
        <w:jc w:val="left"/>
      </w:pPr>
      <w:r>
        <w:rPr>
          <w:rFonts w:ascii="Times New Roman" w:hAnsi="Times New Roman" w:eastAsia="仿宋" w:cs="Times New Roman"/>
          <w:b/>
          <w:color w:val="333333"/>
          <w:sz w:val="14"/>
          <w:szCs w:val="14"/>
          <w:lang w:val="en-US"/>
        </w:rPr>
        <w:t xml:space="preserve">   </w:t>
      </w:r>
      <w:r>
        <w:rPr>
          <w:rFonts w:hint="eastAsia" w:ascii="仿宋" w:hAnsi="仿宋" w:eastAsia="仿宋" w:cs="仿宋"/>
          <w:b/>
          <w:color w:val="333333"/>
          <w:sz w:val="28"/>
          <w:szCs w:val="28"/>
        </w:rPr>
        <w:t>招聘岗位、人数、条件</w:t>
      </w:r>
    </w:p>
    <w:tbl>
      <w:tblPr>
        <w:tblW w:w="84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831"/>
        <w:gridCol w:w="692"/>
        <w:gridCol w:w="3712"/>
        <w:gridCol w:w="830"/>
        <w:gridCol w:w="870"/>
        <w:gridCol w:w="2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招聘科室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肾病科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取得规培证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心内科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中医类、医学类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肛肠科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临床医学、中西医结合临床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急诊内科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临床医学、内科学（心血管病、呼吸性病）、急诊医学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中医类（心内、肾内、神内）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临床医学、外科学（普外、胸外、脑外、骨伤）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中医类、医学类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中医类、医学类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感染性疾病科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全科医学、临床医学、中医学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中医类、医学类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临床检验诊断学、免疫学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骨伤科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中医康复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麻醉科、疼痛科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其他-麻醉学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取得规培证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医学影像学、医学影像与核医学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功能科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医学影像学、医学影像与核医学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wordWrap w:val="0"/>
        <w:jc w:val="center"/>
        <w:rPr>
          <w:sz w:val="14"/>
          <w:szCs w:val="14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最终招聘计划与公告以上级主管部门批复为准。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5E41"/>
    <w:rsid w:val="00215E41"/>
    <w:rsid w:val="00EC22BD"/>
    <w:rsid w:val="2F0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nhideWhenUsed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2020-02-25T06:49:00Z</dcterms:created>
  <dc:creator>张超</dc:creator>
  <cp:lastModifiedBy>国超科技</cp:lastModifiedBy>
  <dcterms:modified xsi:type="dcterms:W3CDTF">2020-02-26T04:27:00Z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