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0" w:firstLineChars="0"/>
        <w:rPr>
          <w:rFonts w:hint="default" w:ascii="Times New Roman" w:hAnsi="Times New Roman" w:eastAsia="黑体" w:cs="Times New Roman"/>
          <w:b w:val="0"/>
          <w:bCs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/>
          <w:sz w:val="32"/>
          <w:szCs w:val="32"/>
          <w:u w:val="none"/>
          <w:lang w:eastAsia="zh-CN"/>
        </w:rPr>
        <w:t>附件</w:t>
      </w:r>
      <w:r>
        <w:rPr>
          <w:rFonts w:hint="default" w:ascii="Times New Roman" w:hAnsi="Times New Roman" w:eastAsia="黑体" w:cs="Times New Roman"/>
          <w:b w:val="0"/>
          <w:bCs/>
          <w:sz w:val="32"/>
          <w:szCs w:val="32"/>
          <w:u w:val="none"/>
          <w:lang w:val="en-US" w:eastAsia="zh-CN"/>
        </w:rPr>
        <w:t>1</w:t>
      </w:r>
    </w:p>
    <w:p>
      <w:pPr>
        <w:pStyle w:val="2"/>
        <w:rPr>
          <w:rFonts w:hint="default" w:ascii="Times New Roman" w:hAnsi="Times New Roman" w:cs="Times New Roman"/>
        </w:rPr>
      </w:pPr>
    </w:p>
    <w:p>
      <w:pPr>
        <w:spacing w:line="640" w:lineRule="exact"/>
        <w:jc w:val="center"/>
        <w:rPr>
          <w:rFonts w:hint="default" w:ascii="Times New Roman" w:hAnsi="Times New Roman" w:eastAsia="方正小标宋简体" w:cs="Times New Roman"/>
          <w:b w:val="0"/>
          <w:bCs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/>
          <w:color w:val="000000"/>
          <w:sz w:val="44"/>
          <w:szCs w:val="44"/>
        </w:rPr>
        <w:t>沐川县情</w:t>
      </w:r>
    </w:p>
    <w:p>
      <w:pPr>
        <w:spacing w:line="640" w:lineRule="exact"/>
        <w:rPr>
          <w:rFonts w:hint="default" w:ascii="Times New Roman" w:hAnsi="Times New Roman" w:eastAsia="方正仿宋简体" w:cs="Times New Roman"/>
          <w:color w:val="000000"/>
          <w:szCs w:val="36"/>
        </w:rPr>
      </w:pPr>
    </w:p>
    <w:p>
      <w:pPr>
        <w:adjustRightInd w:val="0"/>
        <w:snapToGrid w:val="0"/>
        <w:spacing w:line="64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/>
          <w:color w:val="000000"/>
          <w:sz w:val="32"/>
          <w:szCs w:val="32"/>
        </w:rPr>
        <w:t>沐川县位于四川盆地西南边缘小凉山余脉五指山北麓、乌蒙山区西北部，地处岷江、大渡河、金沙江腹地。幅员面积1408平方公里。乡镇行政区划调整改革后辖区由19个乡镇调整为13个，总人口26万。</w:t>
      </w:r>
    </w:p>
    <w:p>
      <w:pPr>
        <w:adjustRightInd w:val="0"/>
        <w:snapToGrid w:val="0"/>
        <w:spacing w:line="64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/>
          <w:color w:val="00000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 w:val="0"/>
          <w:bCs/>
          <w:color w:val="000000"/>
          <w:sz w:val="32"/>
          <w:szCs w:val="32"/>
        </w:rPr>
        <w:t>历史悠久、源远流长。</w:t>
      </w:r>
      <w:r>
        <w:rPr>
          <w:rFonts w:hint="default" w:ascii="Times New Roman" w:hAnsi="Times New Roman" w:eastAsia="仿宋_GB2312" w:cs="Times New Roman"/>
          <w:b w:val="0"/>
          <w:bCs/>
          <w:color w:val="000000"/>
          <w:sz w:val="32"/>
          <w:szCs w:val="32"/>
        </w:rPr>
        <w:t>沐川古为彝地，均为部落。汉隶南安县，唐设沐源镇，宋置沐川寨，唐宋时隶犍为县属嘉州；公元1288年置沐川长官司，驻沐道（今县城）；公元1372年撤沐川长官司，置沐川州；公元1868年废沐川土司，入屏山县属叙州府；1941年置设治局，次年由设治局升为县；1949年12月和平解放；1950年1月成立县人民政府，治沐溪镇。</w:t>
      </w:r>
    </w:p>
    <w:p>
      <w:pPr>
        <w:adjustRightInd w:val="0"/>
        <w:snapToGrid w:val="0"/>
        <w:spacing w:line="64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/>
          <w:color w:val="00000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 w:val="0"/>
          <w:bCs/>
          <w:color w:val="000000"/>
          <w:sz w:val="32"/>
          <w:szCs w:val="32"/>
        </w:rPr>
        <w:t>山明水秀、生态优美。</w:t>
      </w:r>
      <w:r>
        <w:rPr>
          <w:rFonts w:hint="default" w:ascii="Times New Roman" w:hAnsi="Times New Roman" w:eastAsia="仿宋_GB2312" w:cs="Times New Roman"/>
          <w:b w:val="0"/>
          <w:bCs/>
          <w:color w:val="000000"/>
          <w:sz w:val="32"/>
          <w:szCs w:val="32"/>
        </w:rPr>
        <w:t>全县山地占比97%，海拔306米至1900米，气候温润，年平均降水约1300毫米，素有“湿沐川”之称，是长江上游重要的生态屏障和水源涵养区。全县森林覆盖率达77.34%，有获得吉尼斯世界纪录、载入国家级非物质文化遗产的沐川草龙，被评为中国竹子之乡、中国最佳绿色生态旅游名县。空气质量和负氧离子含量居全省前列，县城区负氧离子平均浓度为1377个/cm³，沐川竹海核心景区为35000个/cm³。</w:t>
      </w:r>
    </w:p>
    <w:p>
      <w:pPr>
        <w:adjustRightInd w:val="0"/>
        <w:snapToGrid w:val="0"/>
        <w:spacing w:line="64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/>
          <w:color w:val="00000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 w:val="0"/>
          <w:bCs/>
          <w:color w:val="000000"/>
          <w:sz w:val="32"/>
          <w:szCs w:val="32"/>
        </w:rPr>
        <w:t>区位改善、优势凸显。</w:t>
      </w:r>
      <w:r>
        <w:rPr>
          <w:rFonts w:hint="default" w:ascii="Times New Roman" w:hAnsi="Times New Roman" w:eastAsia="仿宋_GB2312" w:cs="Times New Roman"/>
          <w:b w:val="0"/>
          <w:bCs/>
          <w:color w:val="000000"/>
          <w:sz w:val="32"/>
          <w:szCs w:val="32"/>
        </w:rPr>
        <w:t>县城距成都240公里、乐山100公里，G213线、G348线贯穿境内，乐宜高速倚境而过，是四川连接云南、乐山进出凉山的重要通道和交通节点。目前，仁沐新高速、乐西高速正加快建设，五犍沐快速建成通车，沐溪河航道等级提升和沐川港区规划编制全面完成，全县交通区位优势明显改善，逐渐融入乐山半小时、天府新区1小时经济圈。</w:t>
      </w:r>
    </w:p>
    <w:p>
      <w:pPr>
        <w:adjustRightInd w:val="0"/>
        <w:snapToGrid w:val="0"/>
        <w:spacing w:line="64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/>
          <w:color w:val="00000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 w:val="0"/>
          <w:bCs/>
          <w:color w:val="000000"/>
          <w:sz w:val="32"/>
          <w:szCs w:val="32"/>
        </w:rPr>
        <w:t>文旅康养、创新驱动。</w:t>
      </w:r>
      <w:r>
        <w:rPr>
          <w:rFonts w:hint="default" w:ascii="Times New Roman" w:hAnsi="Times New Roman" w:eastAsia="仿宋_GB2312" w:cs="Times New Roman"/>
          <w:b w:val="0"/>
          <w:bCs/>
          <w:color w:val="000000"/>
          <w:sz w:val="32"/>
          <w:szCs w:val="32"/>
        </w:rPr>
        <w:t>围绕打造“西南生态旅游康养旅居地”目标，积极推进“旅游+”模式，重点发展乡村旅游、森林康养、文化体验等产业。现有国家4A级旅游景区1个、国家3A级旅游景区2个，桃源山居、樱花主题公园、朱鹮繁育中心全面开放，民宿文化村落、体育小镇、温泉小镇、文化艺术中心、大熊猫生态园等文旅项目正加快建设。2019年，全县接待游客217万人次，实现旅游综合收入17亿元。</w:t>
      </w:r>
    </w:p>
    <w:p>
      <w:pPr>
        <w:adjustRightInd w:val="0"/>
        <w:snapToGrid w:val="0"/>
        <w:spacing w:line="64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/>
          <w:color w:val="00000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 w:val="0"/>
          <w:bCs/>
          <w:color w:val="000000"/>
          <w:sz w:val="32"/>
          <w:szCs w:val="32"/>
        </w:rPr>
        <w:t>转型升级、绿色发展。</w:t>
      </w:r>
      <w:r>
        <w:rPr>
          <w:rFonts w:hint="default" w:ascii="Times New Roman" w:hAnsi="Times New Roman" w:eastAsia="仿宋_GB2312" w:cs="Times New Roman"/>
          <w:b w:val="0"/>
          <w:bCs/>
          <w:color w:val="000000"/>
          <w:sz w:val="32"/>
          <w:szCs w:val="32"/>
        </w:rPr>
        <w:t>重点培育壮大林竹、茶叶、生态养殖、果蔬、中药材五大优势主导产业。围绕33.4万亩富硒土壤、43.6万亩“三品一标”基地、22.1万亩茶叶、161万亩林竹等，做足“生态、富硒、有机”文章，建成有机富硒茶现代农业园区2个，集中连片产业基地328个，建成市级以上农业龙头企业17家，培育新型农业经营主体1674家，2019年全县农业总产值达27.4亿元。</w:t>
      </w:r>
    </w:p>
    <w:p>
      <w:pPr>
        <w:adjustRightInd w:val="0"/>
        <w:snapToGrid w:val="0"/>
        <w:spacing w:line="64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/>
          <w:color w:val="00000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 w:val="0"/>
          <w:bCs/>
          <w:color w:val="000000"/>
          <w:sz w:val="32"/>
          <w:szCs w:val="32"/>
        </w:rPr>
        <w:t>脱贫攻坚、聚力奔康。</w:t>
      </w:r>
      <w:r>
        <w:rPr>
          <w:rFonts w:hint="default" w:ascii="Times New Roman" w:hAnsi="Times New Roman" w:eastAsia="仿宋_GB2312" w:cs="Times New Roman"/>
          <w:b w:val="0"/>
          <w:bCs/>
          <w:color w:val="000000"/>
          <w:sz w:val="32"/>
          <w:szCs w:val="32"/>
        </w:rPr>
        <w:t>2011年被纳入国家乌蒙山区集中连片特殊困难地区县后，县委、县政府始终坚持以脱贫攻坚统领经济社会发展全局，2011年至2018年累计减贫48949人，贫困发生率从23.4%降至0.75%。2018年6月通过国家脱贫考核，群众满意率接近100%；8月经四川省人民政府批准退出贫困县序列。2019年投入资金4.5亿元，推进252个扶贫项目，529户1534人顺利脱贫，绝对贫困全面消除。</w:t>
      </w:r>
    </w:p>
    <w:p>
      <w:pPr>
        <w:autoSpaceDE w:val="0"/>
        <w:adjustRightInd w:val="0"/>
        <w:snapToGrid w:val="0"/>
        <w:spacing w:line="640" w:lineRule="exact"/>
        <w:ind w:firstLine="640" w:firstLineChars="200"/>
        <w:rPr>
          <w:rFonts w:hint="default" w:ascii="Times New Roman" w:hAnsi="Times New Roman" w:eastAsia="仿宋_GB2312" w:cs="Times New Roman"/>
          <w:color w:val="000000"/>
          <w:szCs w:val="36"/>
        </w:rPr>
      </w:pPr>
      <w:r>
        <w:rPr>
          <w:rFonts w:hint="default" w:ascii="Times New Roman" w:hAnsi="Times New Roman" w:eastAsia="仿宋_GB2312" w:cs="Times New Roman"/>
          <w:b w:val="0"/>
          <w:bCs/>
          <w:color w:val="000000"/>
          <w:sz w:val="32"/>
          <w:szCs w:val="32"/>
        </w:rPr>
        <w:t>2019年，全县实现地区生产总值70.87亿元、增长6.9%，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b w:val="0"/>
          <w:bCs/>
          <w:color w:val="000000"/>
          <w:sz w:val="32"/>
          <w:szCs w:val="32"/>
        </w:rPr>
        <w:t>规上工业增加值增长8.6%，完成全社会固定资产投资56.24亿元、增长13.6%，社会消费品零售总额32.92亿元、增长9.5%，城镇居民人均可支配收入32637元、增长9.0%，农村居民人均可支配收入15717元、增长10.3%。</w:t>
      </w:r>
    </w:p>
    <w:p>
      <w:pPr>
        <w:rPr>
          <w:rFonts w:hint="default" w:ascii="Times New Roman" w:hAnsi="Times New Roman" w:cs="Times New Roman"/>
        </w:rPr>
      </w:pPr>
    </w:p>
    <w:sectPr>
      <w:footerReference r:id="rId4" w:type="default"/>
      <w:headerReference r:id="rId3" w:type="even"/>
      <w:footerReference r:id="rId5" w:type="even"/>
      <w:pgSz w:w="11906" w:h="16838"/>
      <w:pgMar w:top="2041" w:right="1468" w:bottom="1587" w:left="1468" w:header="851" w:footer="992" w:gutter="0"/>
      <w:cols w:space="0" w:num="1"/>
      <w:rtlGutter w:val="0"/>
      <w:docGrid w:type="lines" w:linePitch="48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7000" w:firstLineChars="2500"/>
      <w:rPr>
        <w:rFonts w:hint="default" w:eastAsiaTheme="minorEastAsia"/>
        <w:lang w:val="en-US" w:eastAsia="zh-CN"/>
      </w:rPr>
    </w:pPr>
    <w:r>
      <w:rPr>
        <w:rFonts w:hint="eastAsia" w:ascii="宋体" w:hAnsi="宋体"/>
        <w:kern w:val="0"/>
        <w:sz w:val="28"/>
        <w:szCs w:val="21"/>
      </w:rPr>
      <w:t xml:space="preserve">— </w:t>
    </w:r>
    <w:r>
      <w:rPr>
        <w:rFonts w:ascii="宋体" w:hAnsi="宋体"/>
        <w:kern w:val="0"/>
        <w:sz w:val="28"/>
        <w:szCs w:val="21"/>
      </w:rPr>
      <w:fldChar w:fldCharType="begin"/>
    </w:r>
    <w:r>
      <w:rPr>
        <w:rFonts w:ascii="宋体" w:hAnsi="宋体"/>
        <w:kern w:val="0"/>
        <w:sz w:val="28"/>
        <w:szCs w:val="21"/>
      </w:rPr>
      <w:instrText xml:space="preserve"> PAGE </w:instrText>
    </w:r>
    <w:r>
      <w:rPr>
        <w:rFonts w:ascii="宋体" w:hAnsi="宋体"/>
        <w:kern w:val="0"/>
        <w:sz w:val="28"/>
        <w:szCs w:val="21"/>
      </w:rPr>
      <w:fldChar w:fldCharType="separate"/>
    </w:r>
    <w:r>
      <w:rPr>
        <w:rFonts w:ascii="宋体" w:hAnsi="宋体"/>
        <w:kern w:val="0"/>
        <w:sz w:val="28"/>
        <w:szCs w:val="21"/>
      </w:rPr>
      <w:t>1</w:t>
    </w:r>
    <w:r>
      <w:rPr>
        <w:rFonts w:ascii="宋体" w:hAnsi="宋体"/>
        <w:kern w:val="0"/>
        <w:sz w:val="28"/>
        <w:szCs w:val="21"/>
      </w:rPr>
      <w:fldChar w:fldCharType="end"/>
    </w:r>
    <w:r>
      <w:rPr>
        <w:rFonts w:ascii="宋体" w:hAnsi="宋体"/>
        <w:kern w:val="0"/>
        <w:sz w:val="28"/>
        <w:szCs w:val="21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 w:ascii="宋体" w:hAnsi="宋体"/>
        <w:kern w:val="0"/>
        <w:sz w:val="28"/>
        <w:szCs w:val="21"/>
      </w:rPr>
      <w:t xml:space="preserve">— </w:t>
    </w:r>
    <w:r>
      <w:rPr>
        <w:rFonts w:ascii="宋体" w:hAnsi="宋体"/>
        <w:kern w:val="0"/>
        <w:sz w:val="28"/>
        <w:szCs w:val="21"/>
      </w:rPr>
      <w:fldChar w:fldCharType="begin"/>
    </w:r>
    <w:r>
      <w:rPr>
        <w:rFonts w:ascii="宋体" w:hAnsi="宋体"/>
        <w:kern w:val="0"/>
        <w:sz w:val="28"/>
        <w:szCs w:val="21"/>
      </w:rPr>
      <w:instrText xml:space="preserve"> PAGE </w:instrText>
    </w:r>
    <w:r>
      <w:rPr>
        <w:rFonts w:ascii="宋体" w:hAnsi="宋体"/>
        <w:kern w:val="0"/>
        <w:sz w:val="28"/>
        <w:szCs w:val="21"/>
      </w:rPr>
      <w:fldChar w:fldCharType="separate"/>
    </w:r>
    <w:r>
      <w:rPr>
        <w:rFonts w:ascii="宋体" w:hAnsi="宋体"/>
        <w:kern w:val="0"/>
        <w:sz w:val="28"/>
        <w:szCs w:val="21"/>
      </w:rPr>
      <w:t>1</w:t>
    </w:r>
    <w:r>
      <w:rPr>
        <w:rFonts w:ascii="宋体" w:hAnsi="宋体"/>
        <w:kern w:val="0"/>
        <w:sz w:val="28"/>
        <w:szCs w:val="21"/>
      </w:rPr>
      <w:fldChar w:fldCharType="end"/>
    </w:r>
    <w:r>
      <w:rPr>
        <w:rFonts w:ascii="宋体" w:hAnsi="宋体"/>
        <w:kern w:val="0"/>
        <w:sz w:val="28"/>
        <w:szCs w:val="21"/>
      </w:rPr>
      <w:t xml:space="preserve"> 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evenAndOddHeaders w:val="1"/>
  <w:drawingGridVerticalSpacing w:val="24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B7A"/>
    <w:rsid w:val="00BC417B"/>
    <w:rsid w:val="00C62B7A"/>
    <w:rsid w:val="218D2C37"/>
    <w:rsid w:val="28234236"/>
    <w:rsid w:val="2BC5010B"/>
    <w:rsid w:val="6BED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仿宋_GB2312" w:cs="Times New Roman"/>
      <w:b/>
      <w:kern w:val="2"/>
      <w:sz w:val="36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semiHidden/>
    <w:unhideWhenUsed/>
    <w:qFormat/>
    <w:uiPriority w:val="99"/>
    <w:pPr>
      <w:spacing w:after="120"/>
    </w:p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b w:val="0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b w:val="0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正文文本 Char"/>
    <w:basedOn w:val="6"/>
    <w:link w:val="2"/>
    <w:semiHidden/>
    <w:qFormat/>
    <w:uiPriority w:val="99"/>
    <w:rPr>
      <w:rFonts w:ascii="Calibri" w:hAnsi="Calibri" w:eastAsia="仿宋_GB2312" w:cs="Times New Roman"/>
      <w:b/>
      <w:sz w:val="3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271</Words>
  <Characters>1547</Characters>
  <Lines>12</Lines>
  <Paragraphs>3</Paragraphs>
  <TotalTime>3</TotalTime>
  <ScaleCrop>false</ScaleCrop>
  <LinksUpToDate>false</LinksUpToDate>
  <CharactersWithSpaces>1815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2020-02-17T09:11:00Z</dcterms:created>
  <dc:creator>PC</dc:creator>
  <cp:lastModifiedBy>果先生</cp:lastModifiedBy>
  <dcterms:modified xsi:type="dcterms:W3CDTF">2020-04-09T06:18:05Z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