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1"/>
        <w:gridCol w:w="359"/>
        <w:gridCol w:w="360"/>
        <w:gridCol w:w="911"/>
        <w:gridCol w:w="372"/>
        <w:gridCol w:w="372"/>
        <w:gridCol w:w="709"/>
        <w:gridCol w:w="1031"/>
        <w:gridCol w:w="369"/>
        <w:gridCol w:w="350"/>
        <w:gridCol w:w="2575"/>
        <w:gridCol w:w="1148"/>
        <w:gridCol w:w="1021"/>
        <w:gridCol w:w="4359"/>
        <w:gridCol w:w="369"/>
        <w:gridCol w:w="3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259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2020年度共青团成都市委员会所属1家事业单位公开招聘10名工作人员岗位表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6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000" w:type="dxa"/>
            <w:gridSpan w:val="5"/>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招聘单位</w:t>
            </w:r>
          </w:p>
        </w:tc>
        <w:tc>
          <w:tcPr>
            <w:tcW w:w="414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170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6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名称</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地址</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1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类别</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w:t>
            </w:r>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9" w:hRule="atLeast"/>
          <w:jc w:val="center"/>
        </w:trPr>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共青团成都市委员会（028-61310925）</w:t>
            </w:r>
          </w:p>
        </w:tc>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成都市青少年宫</w:t>
            </w:r>
          </w:p>
        </w:tc>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028-86722653</w:t>
            </w:r>
          </w:p>
        </w:tc>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成都市青羊区小南街28号</w:t>
            </w:r>
          </w:p>
        </w:tc>
        <w:tc>
          <w:tcPr>
            <w:tcW w:w="6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10</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01437</w:t>
            </w:r>
          </w:p>
        </w:tc>
        <w:tc>
          <w:tcPr>
            <w:tcW w:w="1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bookmarkStart w:id="0" w:name="_GoBack"/>
            <w:bookmarkEnd w:id="0"/>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专科及以上学历</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jc w:val="center"/>
        </w:trPr>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01438</w:t>
            </w:r>
          </w:p>
        </w:tc>
        <w:tc>
          <w:tcPr>
            <w:tcW w:w="18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综合行政</w:t>
            </w:r>
          </w:p>
        </w:tc>
        <w:tc>
          <w:tcPr>
            <w:tcW w:w="6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2.该岗位只面向2020年应届高校毕业生（含毕业后2年择业期内未落实工作单位的2018、2019年高校毕业生）专项招聘（详情见公告）。</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2" w:hRule="atLeast"/>
          <w:jc w:val="center"/>
        </w:trPr>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01439</w:t>
            </w:r>
          </w:p>
        </w:tc>
        <w:tc>
          <w:tcPr>
            <w:tcW w:w="1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综合文秘</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本科：050101汉语言文学、050107T秘书学、030503思想政治教育；</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研究生：专业不限，但本科阶段须为上述专业</w:t>
            </w:r>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2.普通话二级甲等及以上；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3.报考该岗位本科学历学位者须具有2年及以上基层工作经历（详情见公告）；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4.报考本岗位考生本科阶段专业须为岗位要求本科专业。</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9" w:hRule="atLeast"/>
          <w:jc w:val="center"/>
        </w:trPr>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02025</w:t>
            </w:r>
          </w:p>
        </w:tc>
        <w:tc>
          <w:tcPr>
            <w:tcW w:w="1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体育教练</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本科：040201体育教育、040202K运动训练、040203社会体育指导与管理、040204K武术与民族传统体育；</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研究生：专业不限，但本科阶段须为上述专业</w:t>
            </w:r>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普通高等教育硕士研究生及以上，取得学历相应学位</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体育教练员中级职称及以上</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2.所取得教练职称对应专业（项目）或从事教练项目应为武术、跆拳道、乒乓球、篮球、击剑、国际象棋、中国象棋、围棋专业之一；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3.报考本岗位考生本科阶段专业须为岗位要求本科专业。</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C类</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9" w:hRule="atLeast"/>
          <w:jc w:val="center"/>
        </w:trPr>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01440</w:t>
            </w:r>
          </w:p>
        </w:tc>
        <w:tc>
          <w:tcPr>
            <w:tcW w:w="1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财务会计</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4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本科：120203K会计学、120204财务管理、120207审计学、020102经济统计学、071201统计学、071202应用统计学；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研究生：专业不限，但本科阶段须为上述专业</w:t>
            </w:r>
          </w:p>
        </w:tc>
        <w:tc>
          <w:tcPr>
            <w:tcW w:w="20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普通高等教育硕士研究生及以上，取得学历相应学位</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会计初级职称及以上</w:t>
            </w:r>
          </w:p>
        </w:tc>
        <w:tc>
          <w:tcPr>
            <w:tcW w:w="8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2.报考本岗位考生本科阶段专业须为岗位要求本科专业。</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259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说明:1.本科专业按照教育部《普通高等学校本科专业目录（2012）》确定。高校毕业证书所载专业名称与教育部公布的专业目录名称不一致的，需提供省级教育部门或所在高校对其所学专业的认定证明；是留学生不一致的，需提供省级教育部门或相关高校科研机构对其留学所学专业的第三方认证。</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r>
        <w:rPr>
          <w:rFonts w:hint="eastAsia" w:ascii="微软雅黑" w:hAnsi="微软雅黑" w:eastAsia="微软雅黑" w:cs="微软雅黑"/>
          <w:i w:val="0"/>
          <w:caps w:val="0"/>
          <w:color w:val="000000"/>
          <w:spacing w:val="0"/>
          <w:sz w:val="13"/>
          <w:szCs w:val="13"/>
        </w:rPr>
        <w:t> </w:t>
      </w:r>
    </w:p>
    <w:p>
      <w:pPr>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32126BB5"/>
    <w:rsid w:val="624A7BB5"/>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