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69" w:rsidRDefault="00214469" w:rsidP="00214469"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事业单位公开招聘工作人员考试（笔试）大纲</w:t>
      </w:r>
    </w:p>
    <w:p w:rsidR="00214469" w:rsidRDefault="00214469" w:rsidP="00214469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:rsidR="00214469" w:rsidRDefault="00214469" w:rsidP="00214469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社会、历史、文学、天文、地理、军事等方面的基本知识及其运用能力。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第五部分：资料分析。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_GB2312" w:hAnsi="仿宋_GB2312" w:cs="仿宋_GB2312" w:hint="eastAsia"/>
          <w:szCs w:val="32"/>
        </w:rPr>
        <w:br w:type="page"/>
      </w: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《公共基础知识》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214469" w:rsidRDefault="00214469" w:rsidP="00214469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214469" w:rsidRDefault="00214469" w:rsidP="00214469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214469" w:rsidRDefault="00214469" w:rsidP="00214469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三、公文处理的概念、基本任务、基本原则，收文、发文处理的程序和方法，办毕公文的处置。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第五部分：经济与管理。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214469" w:rsidRDefault="00214469" w:rsidP="0021446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214469" w:rsidRDefault="00214469" w:rsidP="0021446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214469" w:rsidRDefault="00214469" w:rsidP="00214469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3F0F06" w:rsidRPr="00214469" w:rsidRDefault="003F0F06" w:rsidP="00214469">
      <w:pPr>
        <w:rPr>
          <w:szCs w:val="21"/>
        </w:rPr>
      </w:pPr>
    </w:p>
    <w:sectPr w:rsidR="003F0F06" w:rsidRPr="00214469" w:rsidSect="00EE4413">
      <w:headerReference w:type="default" r:id="rId6"/>
      <w:pgSz w:w="11906" w:h="16838"/>
      <w:pgMar w:top="1701" w:right="1134" w:bottom="1701" w:left="1134" w:header="1134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70E" w:rsidRDefault="00BC770E" w:rsidP="003F0F06">
      <w:r>
        <w:separator/>
      </w:r>
    </w:p>
  </w:endnote>
  <w:endnote w:type="continuationSeparator" w:id="0">
    <w:p w:rsidR="00BC770E" w:rsidRDefault="00BC770E" w:rsidP="003F0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70E" w:rsidRDefault="00BC770E" w:rsidP="003F0F06">
      <w:r>
        <w:separator/>
      </w:r>
    </w:p>
  </w:footnote>
  <w:footnote w:type="continuationSeparator" w:id="0">
    <w:p w:rsidR="00BC770E" w:rsidRDefault="00BC770E" w:rsidP="003F0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0" w:rsidRDefault="008E3835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  <w:sz w:val="24"/>
        <w:szCs w:val="24"/>
      </w:rPr>
    </w:pPr>
    <w:r>
      <w:rPr>
        <w:rFonts w:ascii="楷体" w:eastAsia="楷体" w:hAnsi="楷体" w:cs="楷体" w:hint="eastAsia"/>
        <w:color w:val="808080" w:themeColor="background1" w:themeShade="80"/>
        <w:sz w:val="24"/>
        <w:szCs w:val="24"/>
      </w:rPr>
      <w:t xml:space="preserve">事业单位公开招聘工作材料之一                                     考试大纲                                                             </w:t>
    </w:r>
  </w:p>
  <w:p w:rsidR="00EF6D80" w:rsidRDefault="008E3835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</w:rPr>
    </w:pPr>
    <w:r>
      <w:rPr>
        <w:rFonts w:ascii="楷体" w:eastAsia="楷体" w:hAnsi="楷体" w:cs="楷体" w:hint="eastAsia"/>
        <w:color w:val="808080" w:themeColor="background1" w:themeShade="80"/>
        <w:sz w:val="24"/>
        <w:szCs w:val="24"/>
      </w:rPr>
      <w:t xml:space="preserve">会议通知（7）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F06"/>
    <w:rsid w:val="001A6998"/>
    <w:rsid w:val="00214469"/>
    <w:rsid w:val="003676A4"/>
    <w:rsid w:val="003F0F06"/>
    <w:rsid w:val="00422E6D"/>
    <w:rsid w:val="005E0B04"/>
    <w:rsid w:val="00732593"/>
    <w:rsid w:val="007762E7"/>
    <w:rsid w:val="00870C92"/>
    <w:rsid w:val="008D58DA"/>
    <w:rsid w:val="008E3835"/>
    <w:rsid w:val="00A664FF"/>
    <w:rsid w:val="00BC770E"/>
    <w:rsid w:val="00C45C2D"/>
    <w:rsid w:val="00C470DA"/>
    <w:rsid w:val="00EE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6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F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F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F0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F06"/>
    <w:rPr>
      <w:sz w:val="18"/>
      <w:szCs w:val="18"/>
    </w:rPr>
  </w:style>
  <w:style w:type="paragraph" w:styleId="a5">
    <w:name w:val="Normal (Web)"/>
    <w:basedOn w:val="a"/>
    <w:rsid w:val="003F0F06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qFormat/>
    <w:rsid w:val="003F0F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</dc:creator>
  <cp:keywords/>
  <dc:description/>
  <cp:lastModifiedBy>KSZX</cp:lastModifiedBy>
  <cp:revision>6</cp:revision>
  <dcterms:created xsi:type="dcterms:W3CDTF">2020-05-16T03:27:00Z</dcterms:created>
  <dcterms:modified xsi:type="dcterms:W3CDTF">2020-05-16T04:23:00Z</dcterms:modified>
</cp:coreProperties>
</file>