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0" w:name="_Toc24596"/>
      <w:r>
        <w:rPr>
          <w:rFonts w:hint="eastAsia" w:ascii="黑体" w:hAnsi="黑体" w:eastAsia="黑体" w:cs="黑体"/>
          <w:sz w:val="32"/>
          <w:szCs w:val="32"/>
        </w:rPr>
        <w:t>附件2</w:t>
      </w:r>
      <w:bookmarkEnd w:id="0"/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达州房地集团有限公司人才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招聘岗位</w:t>
      </w:r>
      <w:r>
        <w:rPr>
          <w:rFonts w:hint="eastAsia" w:ascii="Times New Roman" w:hAnsi="Times New Roman" w:eastAsia="方正小标宋简体"/>
          <w:sz w:val="44"/>
          <w:szCs w:val="44"/>
        </w:rPr>
        <w:t>表</w:t>
      </w:r>
    </w:p>
    <w:tbl>
      <w:tblPr>
        <w:tblStyle w:val="3"/>
        <w:tblW w:w="139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5"/>
        <w:gridCol w:w="1743"/>
        <w:gridCol w:w="1714"/>
        <w:gridCol w:w="7181"/>
        <w:gridCol w:w="17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6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28"/>
                <w:szCs w:val="28"/>
                <w:lang w:eastAsia="zh-CN"/>
              </w:rPr>
              <w:t>岗位</w:t>
            </w: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714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岗位</w:t>
            </w:r>
            <w:r>
              <w:rPr>
                <w:rStyle w:val="6"/>
                <w:rFonts w:hint="eastAsia" w:ascii="Times New Roman" w:hAnsi="Times New Roman" w:eastAsia="仿宋_GB2312" w:cs="Times New Roman"/>
                <w:sz w:val="28"/>
                <w:szCs w:val="28"/>
              </w:rPr>
              <w:t>名额</w:t>
            </w:r>
          </w:p>
        </w:tc>
        <w:tc>
          <w:tcPr>
            <w:tcW w:w="7181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28"/>
                <w:szCs w:val="28"/>
                <w:lang w:eastAsia="zh-CN"/>
              </w:rPr>
              <w:t>岗位</w:t>
            </w: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28"/>
                <w:szCs w:val="28"/>
              </w:rPr>
              <w:t>资格条件</w:t>
            </w:r>
          </w:p>
        </w:tc>
        <w:tc>
          <w:tcPr>
            <w:tcW w:w="1730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28"/>
                <w:szCs w:val="28"/>
              </w:rPr>
              <w:t>薪酬待遇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6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党委办公室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文秘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181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①学历学位：全日制大学本科及以上学历并取得相应学位</w:t>
            </w:r>
            <w: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  <w:br w:type="textWrapping"/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②类别：应届生、往届生</w:t>
            </w:r>
          </w:p>
          <w:p>
            <w:pPr>
              <w:widowControl/>
              <w:textAlignment w:val="center"/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③专业：专业不限</w:t>
            </w:r>
          </w:p>
          <w:p>
            <w:pPr>
              <w:widowControl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年龄：</w:t>
            </w:r>
            <w:r>
              <w:rPr>
                <w:rStyle w:val="8"/>
                <w:rFonts w:eastAsia="仿宋_GB2312"/>
                <w:sz w:val="28"/>
                <w:szCs w:val="28"/>
              </w:rPr>
              <w:t>30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周岁以下（</w:t>
            </w:r>
            <w: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  <w:t>1990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  <w:t>7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  <w:t>13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日以后出生，下同）</w:t>
            </w:r>
          </w:p>
        </w:tc>
        <w:tc>
          <w:tcPr>
            <w:tcW w:w="1730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面议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综合部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文秘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181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①学历学位：全日制大学本科及以上学历并取得相应学位</w:t>
            </w:r>
            <w: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  <w:br w:type="textWrapping"/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②类别：应届生、往届生</w:t>
            </w:r>
          </w:p>
          <w:p>
            <w:pPr>
              <w:widowControl/>
              <w:textAlignment w:val="center"/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③专业：专业不限</w:t>
            </w:r>
            <w: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年龄：</w:t>
            </w:r>
            <w:r>
              <w:rPr>
                <w:rStyle w:val="8"/>
                <w:rFonts w:eastAsia="仿宋_GB2312"/>
                <w:sz w:val="28"/>
                <w:szCs w:val="28"/>
              </w:rPr>
              <w:t>30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周岁以下</w:t>
            </w:r>
          </w:p>
        </w:tc>
        <w:tc>
          <w:tcPr>
            <w:tcW w:w="1730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面议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1625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审计监察室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审计员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181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①学历学位：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全日制大学本科及以上学历并取得相应学位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②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类别：应届生、往届生</w:t>
            </w:r>
          </w:p>
          <w:p>
            <w:pPr>
              <w:widowControl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③专业：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会计学、财务管理、审计学、工程审计、工程造价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年龄：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周岁以下</w:t>
            </w:r>
          </w:p>
          <w:p>
            <w:pPr>
              <w:widowControl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说明：取得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中级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会计师、审计师及以上专业技术职称的，年龄可放宽至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周岁，学历至大专（专业不限）</w:t>
            </w:r>
          </w:p>
        </w:tc>
        <w:tc>
          <w:tcPr>
            <w:tcW w:w="1730" w:type="dxa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面议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5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审计监察室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纪检员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81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①学历学位：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全日制大学本科及以上学历并取得相应学位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②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类别：应届生、往届生</w:t>
            </w:r>
          </w:p>
          <w:p>
            <w:pP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③专业：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专业不限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年龄：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周岁以下</w:t>
            </w:r>
          </w:p>
        </w:tc>
        <w:tc>
          <w:tcPr>
            <w:tcW w:w="1730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面议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5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工程部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Style w:val="9"/>
                <w:rFonts w:hint="eastAsia" w:ascii="Times New Roman" w:hAnsi="Times New Roman" w:eastAsia="仿宋_GB2312" w:cs="Times New Roman"/>
                <w:sz w:val="28"/>
                <w:szCs w:val="28"/>
              </w:rPr>
              <w:t>造价管理员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81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①学历学位：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全日制大学本科及以上学历并取得相应学位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②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类别：往届生</w:t>
            </w:r>
          </w:p>
          <w:p>
            <w:pP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③专业：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建筑类、管理科学与工程类、土木类</w:t>
            </w: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年龄：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周岁以下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说明：取得二级造价师及以上资质的，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年龄可放宽至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周岁，学历至大专（专业不限）</w:t>
            </w:r>
          </w:p>
        </w:tc>
        <w:tc>
          <w:tcPr>
            <w:tcW w:w="1730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面议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5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工程部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施工管理员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81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①学历学位：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全日制大学本科及以上学历并取得相应学位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②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类别：往届生</w:t>
            </w: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③专业：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建筑类、管理科学与工程类、土木类</w:t>
            </w: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年龄：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周岁以下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说明：取得工程师、建筑师及以上专业技术职称的，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年龄可放宽至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周岁，学历至大专（专业不限）</w:t>
            </w:r>
          </w:p>
        </w:tc>
        <w:tc>
          <w:tcPr>
            <w:tcW w:w="1730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面议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5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财务部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主办会计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81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①学历学位：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全日制大学本科及以上学历并取得相应学位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②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类别：应届生、往届生</w:t>
            </w:r>
          </w:p>
          <w:p>
            <w:pP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③专业：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会计学、财务管理、审计学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年龄：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周岁以下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说明：取得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中级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会计师及以上专业技术职称的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，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年龄可放宽至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周岁，学历至大专（专业不限）</w:t>
            </w:r>
          </w:p>
        </w:tc>
        <w:tc>
          <w:tcPr>
            <w:tcW w:w="1730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面议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5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发展部</w:t>
            </w:r>
          </w:p>
        </w:tc>
        <w:tc>
          <w:tcPr>
            <w:tcW w:w="1743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报建员</w:t>
            </w:r>
          </w:p>
        </w:tc>
        <w:tc>
          <w:tcPr>
            <w:tcW w:w="1714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81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7"/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①学历学位：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全日制大学本科及以上学历并取得相应学位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②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类别：应届生、往届生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③专业：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工商管理类、管理科学与工程类、经济学类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</w:rPr>
              <w:t>④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年龄：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周岁以下</w:t>
            </w:r>
          </w:p>
        </w:tc>
        <w:tc>
          <w:tcPr>
            <w:tcW w:w="1730" w:type="dxa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</w:rPr>
              <w:t>面议</w:t>
            </w:r>
          </w:p>
        </w:tc>
      </w:tr>
    </w:tbl>
    <w:p>
      <w:pPr>
        <w:rPr>
          <w:rFonts w:ascii="Times New Roman" w:hAnsi="Times New Roman" w:eastAsia="仿宋"/>
          <w:sz w:val="32"/>
          <w:szCs w:val="32"/>
        </w:rPr>
      </w:pPr>
    </w:p>
    <w:p>
      <w:pPr>
        <w:rPr>
          <w:rFonts w:ascii="Times New Roman" w:hAnsi="Times New Roman" w:eastAsia="仿宋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676F3"/>
    <w:rsid w:val="426676F3"/>
    <w:rsid w:val="4854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customStyle="1" w:styleId="5">
    <w:name w:val="样式2"/>
    <w:basedOn w:val="2"/>
    <w:uiPriority w:val="0"/>
    <w:rPr>
      <w:rFonts w:ascii="Calibri" w:hAnsi="Calibri" w:eastAsia="宋体" w:cs="Times New Roman"/>
      <w:sz w:val="28"/>
    </w:rPr>
  </w:style>
  <w:style w:type="character" w:customStyle="1" w:styleId="6">
    <w:name w:val="font21"/>
    <w:basedOn w:val="4"/>
    <w:qFormat/>
    <w:uiPriority w:val="99"/>
    <w:rPr>
      <w:rFonts w:ascii="宋体" w:hAnsi="宋体" w:eastAsia="宋体" w:cs="宋体"/>
      <w:b/>
      <w:color w:val="000000"/>
      <w:sz w:val="20"/>
      <w:szCs w:val="20"/>
      <w:u w:val="none"/>
    </w:rPr>
  </w:style>
  <w:style w:type="character" w:customStyle="1" w:styleId="7">
    <w:name w:val="font41"/>
    <w:basedOn w:val="4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99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81"/>
    <w:basedOn w:val="4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2020-07-28T07:23:00Z</dcterms:created>
  <dc:creator>Michelle1408947388</dc:creator>
  <cp:lastModifiedBy>Michelle1408947388</cp:lastModifiedBy>
  <dcterms:modified xsi:type="dcterms:W3CDTF">2020-07-28T07:24:07Z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