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招聘计划及岗位条件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tbl>
      <w:tblPr>
        <w:tblStyle w:val="3"/>
        <w:tblW w:w="9600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60"/>
        <w:gridCol w:w="705"/>
        <w:gridCol w:w="1725"/>
        <w:gridCol w:w="3324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学历/学位/职称要求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临床各专业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临床各专业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本科及以上学历，副高及以上职称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内、外、妇、儿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临床各专业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硕士研究生学历及相应医学学位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（或本科学历，取得规范化培训证书）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本科学历（五年制）及相应医学学位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内、外、妇、儿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（具有执业医师证者优先）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临床病理方向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医学信息方向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本科学历及相应医学学位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具有执业医师证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11F8"/>
    <w:rsid w:val="25DA4CA3"/>
    <w:rsid w:val="74E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2020-12-23T09:38:00Z</dcterms:created>
  <dc:creator>请叫我觅食杨</dc:creator>
  <cp:lastModifiedBy>请叫我觅食杨</cp:lastModifiedBy>
  <dcterms:modified xsi:type="dcterms:W3CDTF">2020-12-23T09:51:28Z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