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剑阁县20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报名情况公示表</w:t>
      </w:r>
    </w:p>
    <w:bookmarkEnd w:id="0"/>
    <w:tbl>
      <w:tblPr>
        <w:tblStyle w:val="2"/>
        <w:tblW w:w="9201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88"/>
        <w:gridCol w:w="1512"/>
        <w:gridCol w:w="888"/>
        <w:gridCol w:w="841"/>
        <w:gridCol w:w="164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ECE9D8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报考人数与招聘人数比例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ECE9D8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2020103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2020104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0: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乡镇卫生院1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2020108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乡镇卫生院2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2020109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乡镇卫生院3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2020110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乡镇卫生院4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2020111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乡镇卫生院5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24.4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乡镇卫生院6</w:t>
            </w:r>
          </w:p>
        </w:tc>
        <w:tc>
          <w:tcPr>
            <w:tcW w:w="2188" w:type="dxa"/>
            <w:tcBorders>
              <w:top w:val="single" w:color="ECE9D8" w:sz="6" w:space="0"/>
              <w:left w:val="single" w:color="ECE9D8" w:sz="6" w:space="0"/>
              <w:bottom w:val="single" w:color="ECE9D8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</w:t>
            </w: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合      计</w:t>
            </w:r>
          </w:p>
        </w:tc>
        <w:tc>
          <w:tcPr>
            <w:tcW w:w="1512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41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646" w:type="dxa"/>
            <w:tcBorders>
              <w:top w:val="single" w:color="ECE9D8" w:sz="6" w:space="0"/>
              <w:left w:val="single" w:color="ECE9D8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0F7A"/>
    <w:rsid w:val="2E4825F0"/>
    <w:rsid w:val="3F1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2021-01-06T06:46:00Z</dcterms:created>
  <dc:creator>春江水1414379085</dc:creator>
  <cp:lastModifiedBy>春江水1414379085</cp:lastModifiedBy>
  <dcterms:modified xsi:type="dcterms:W3CDTF">2021-01-06T06:48:11Z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