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4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附件1</w:t>
      </w:r>
    </w:p>
    <w:p>
      <w:pPr>
        <w:spacing w:line="324" w:lineRule="auto"/>
        <w:rPr>
          <w:rFonts w:ascii="宋体" w:hAnsi="新宋体"/>
          <w:b/>
          <w:sz w:val="24"/>
          <w:szCs w:val="32"/>
        </w:rPr>
      </w:pPr>
    </w:p>
    <w:tbl>
      <w:tblPr>
        <w:tblStyle w:val="2"/>
        <w:tblW w:w="496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67"/>
        <w:gridCol w:w="524"/>
        <w:gridCol w:w="768"/>
        <w:gridCol w:w="543"/>
        <w:gridCol w:w="600"/>
        <w:gridCol w:w="1011"/>
        <w:gridCol w:w="690"/>
        <w:gridCol w:w="655"/>
        <w:gridCol w:w="2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4" w:lineRule="auto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0"/>
                <w:szCs w:val="30"/>
              </w:rPr>
              <w:t>芜湖县总医院公开招聘编外临床专业技术人员岗位信息表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4" w:lineRule="auto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招考计划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 xml:space="preserve">单位类别  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专业及代码</w:t>
            </w:r>
          </w:p>
        </w:tc>
        <w:tc>
          <w:tcPr>
            <w:tcW w:w="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芜湖县总医院</w:t>
            </w:r>
          </w:p>
        </w:tc>
        <w:tc>
          <w:tcPr>
            <w:tcW w:w="57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临床</w:t>
            </w:r>
          </w:p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医学专业</w:t>
            </w:r>
          </w:p>
        </w:tc>
        <w:tc>
          <w:tcPr>
            <w:tcW w:w="54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4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4" w:lineRule="auto"/>
              <w:jc w:val="left"/>
              <w:rPr>
                <w:rFonts w:cs="Tahoma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1、具备临床执业医师资格。              2、从事岗位心电2名，超声2名，院前急救2名，放射1名，眼科1名，耳鼻喉科1名。                  3、执业地点、从事岗位服从总院安排。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4" w:lineRule="auto"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24" w:lineRule="auto"/>
        <w:rPr>
          <w:rFonts w:ascii="宋体" w:hAnsi="新宋体"/>
          <w:b/>
          <w:sz w:val="24"/>
          <w:szCs w:val="32"/>
        </w:rPr>
        <w:sectPr>
          <w:pgSz w:w="11906" w:h="16838"/>
          <w:pgMar w:top="1418" w:right="1418" w:bottom="1418" w:left="1418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42A0F"/>
    <w:rsid w:val="4DE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2021-01-12T08:31:00Z</dcterms:created>
  <dc:creator>慕斯</dc:creator>
  <cp:lastModifiedBy>慕斯</cp:lastModifiedBy>
  <dcterms:modified xsi:type="dcterms:W3CDTF">2021-01-12T08:32:31Z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