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32"/>
          <w:szCs w:val="32"/>
          <w:shd w:val="clear" w:fill="FFFFFF"/>
        </w:rPr>
        <w:t>辽源市基石投资控股有限公司岗位招聘一览表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tbl>
      <w:tblPr>
        <w:tblW w:w="8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570"/>
        <w:gridCol w:w="528"/>
        <w:gridCol w:w="6500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拟聘岗位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人数</w:t>
            </w:r>
          </w:p>
        </w:tc>
        <w:tc>
          <w:tcPr>
            <w:tcW w:w="6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岗位要求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会计岗位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1、全日制统招本科及以上学历，财会类专业；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2、具有3年以上相关工作经历；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3、具有较强的组织、沟通、协调能力；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4、具有供水、供热公司工作经历者优先；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5、中级会计资格证、具有会计中级及以上职称、注册税务师职称者优先；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6、5年以上相关工作经历者优先。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出纳岗位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1、全日制统招本科学历，财会类专业；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2、具有1年以上相关工作经历；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3、具有较强的组织、沟通、协调能力；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4、具有会计资格证书条件可适当放宽；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5、3年以上相关工作经历者优先。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35周岁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综合事务岗位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1、全日制统招本科及以上学历，中文、行政管理、文秘、语言学及应用语言学等相关专业；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2、具有较强的文字综合能力，能熟练使用办公软件；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3、具有1年以上相关工作经历；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4、3年以上相关工作经历者优先。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35周岁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行政后勤岗位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1、全日制统招专科及以上学历；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2、能熟练使用办公软件；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3、具有较强的沟通协作能力；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4、具有1年以上相关工作经历；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5、3年以上相关工作经历者优先。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35周岁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2"/>
                <w:szCs w:val="22"/>
              </w:rPr>
              <w:t>项目管理岗位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1、全日制统招本科及以上学历，建筑学、城市规划、项目管理、工程管理、物流管理专业、等相关专业；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2、熟练申报项目工作程序、熟悉地方政府有关行业管理政策等；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3、能熟练使用CAD绘图软件；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4、具有建造师、造价师、国家监理资格者可适当放宽条件；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5、具有2年以上相关工作经历；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6、3年以上相关工作经历者优先。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25周岁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0"/>
                <w:szCs w:val="20"/>
              </w:rPr>
              <w:t>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合计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9人</w:t>
            </w:r>
          </w:p>
        </w:tc>
        <w:tc>
          <w:tcPr>
            <w:tcW w:w="6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2"/>
          <w:szCs w:val="22"/>
          <w:shd w:val="clear" w:fill="FFFFFF"/>
        </w:rPr>
        <w:t xml:space="preserve">注：以上岗位录用时可根据集团情况调剂至下属子公司。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2ADD"/>
    <w:rsid w:val="7F82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>
      <w:u w:val="none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share_box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2021-03-05T07:20:00Z</dcterms:created>
  <dc:creator>ζั͡ޓއއއ 清风为客、</dc:creator>
  <cp:lastModifiedBy>ζั͡ޓއއއ 清风为客、</cp:lastModifiedBy>
  <dcterms:modified xsi:type="dcterms:W3CDTF">2021-03-05T07:20:29Z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