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textAlignment w:val="center"/>
        <w:rPr>
          <w:rFonts w:hint="eastAsia" w:ascii="黑体" w:hAnsi="黑体" w:eastAsia="黑体" w:cs="黑体"/>
          <w:bCs/>
          <w:color w:val="000000"/>
          <w:kern w:val="0"/>
          <w:sz w:val="32"/>
          <w:szCs w:val="32"/>
          <w:lang w:val="en-US" w:eastAsia="zh-CN" w:bidi="ar"/>
        </w:rPr>
      </w:pPr>
      <w:r>
        <w:rPr>
          <w:rFonts w:hint="eastAsia" w:ascii="黑体" w:hAnsi="黑体" w:eastAsia="黑体" w:cs="黑体"/>
          <w:bCs/>
          <w:color w:val="000000"/>
          <w:kern w:val="0"/>
          <w:sz w:val="32"/>
          <w:szCs w:val="32"/>
          <w:lang w:eastAsia="zh-CN" w:bidi="ar"/>
        </w:rPr>
        <w:t>附件</w:t>
      </w:r>
      <w:r>
        <w:rPr>
          <w:rFonts w:hint="eastAsia" w:ascii="黑体" w:hAnsi="黑体" w:eastAsia="黑体" w:cs="黑体"/>
          <w:bCs/>
          <w:color w:val="000000"/>
          <w:kern w:val="0"/>
          <w:sz w:val="32"/>
          <w:szCs w:val="32"/>
          <w:lang w:val="en-US" w:eastAsia="zh-CN" w:bidi="ar"/>
        </w:rPr>
        <w:t>2</w:t>
      </w:r>
    </w:p>
    <w:p>
      <w:pPr>
        <w:widowControl/>
        <w:spacing w:line="600" w:lineRule="exact"/>
        <w:jc w:val="center"/>
        <w:textAlignment w:val="center"/>
        <w:rPr>
          <w:rFonts w:ascii="方正小标宋简体" w:hAnsi="方正小标宋简体" w:eastAsia="方正小标宋简体" w:cs="方正小标宋简体"/>
          <w:bCs/>
          <w:color w:val="000000"/>
          <w:kern w:val="0"/>
          <w:sz w:val="44"/>
          <w:szCs w:val="44"/>
          <w:lang w:bidi="ar"/>
        </w:rPr>
      </w:pPr>
      <w:r>
        <w:rPr>
          <w:rFonts w:hint="eastAsia" w:ascii="方正小标宋简体" w:hAnsi="方正小标宋简体" w:eastAsia="方正小标宋简体" w:cs="方正小标宋简体"/>
          <w:bCs/>
          <w:color w:val="000000"/>
          <w:kern w:val="0"/>
          <w:sz w:val="44"/>
          <w:szCs w:val="44"/>
          <w:lang w:bidi="ar"/>
        </w:rPr>
        <w:t>中共绵阳市</w:t>
      </w:r>
      <w:r>
        <w:rPr>
          <w:rFonts w:hint="eastAsia" w:ascii="方正小标宋简体" w:hAnsi="方正小标宋简体" w:eastAsia="方正小标宋简体" w:cs="方正小标宋简体"/>
          <w:bCs/>
          <w:color w:val="000000"/>
          <w:kern w:val="0"/>
          <w:sz w:val="44"/>
          <w:szCs w:val="44"/>
          <w:lang w:eastAsia="zh-CN" w:bidi="ar"/>
        </w:rPr>
        <w:t>游仙区</w:t>
      </w:r>
      <w:r>
        <w:rPr>
          <w:rFonts w:hint="eastAsia" w:ascii="方正小标宋简体" w:hAnsi="方正小标宋简体" w:eastAsia="方正小标宋简体" w:cs="方正小标宋简体"/>
          <w:bCs/>
          <w:color w:val="000000"/>
          <w:kern w:val="0"/>
          <w:sz w:val="44"/>
          <w:szCs w:val="44"/>
          <w:lang w:bidi="ar"/>
        </w:rPr>
        <w:t>委党校</w:t>
      </w:r>
    </w:p>
    <w:p>
      <w:pPr>
        <w:widowControl/>
        <w:spacing w:line="600" w:lineRule="exact"/>
        <w:jc w:val="center"/>
        <w:textAlignment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kern w:val="0"/>
          <w:sz w:val="44"/>
          <w:szCs w:val="44"/>
          <w:lang w:bidi="ar"/>
        </w:rPr>
        <w:t>公开</w:t>
      </w:r>
      <w:r>
        <w:rPr>
          <w:rFonts w:hint="eastAsia" w:ascii="方正小标宋简体" w:hAnsi="方正小标宋简体" w:eastAsia="方正小标宋简体" w:cs="方正小标宋简体"/>
          <w:bCs/>
          <w:color w:val="000000"/>
          <w:kern w:val="0"/>
          <w:sz w:val="44"/>
          <w:szCs w:val="44"/>
          <w:lang w:eastAsia="zh-CN" w:bidi="ar"/>
        </w:rPr>
        <w:t>选</w:t>
      </w:r>
      <w:r>
        <w:rPr>
          <w:rFonts w:hint="eastAsia" w:ascii="方正小标宋简体" w:hAnsi="方正小标宋简体" w:eastAsia="方正小标宋简体" w:cs="方正小标宋简体"/>
          <w:bCs/>
          <w:color w:val="000000"/>
          <w:kern w:val="0"/>
          <w:sz w:val="44"/>
          <w:szCs w:val="44"/>
          <w:lang w:bidi="ar"/>
        </w:rPr>
        <w:t>聘教师登记表</w:t>
      </w:r>
    </w:p>
    <w:tbl>
      <w:tblPr>
        <w:tblStyle w:val="4"/>
        <w:tblW w:w="9102" w:type="dxa"/>
        <w:tblInd w:w="0" w:type="dxa"/>
        <w:tblLayout w:type="fixed"/>
        <w:tblCellMar>
          <w:top w:w="0" w:type="dxa"/>
          <w:left w:w="0" w:type="dxa"/>
          <w:bottom w:w="0" w:type="dxa"/>
          <w:right w:w="0" w:type="dxa"/>
        </w:tblCellMar>
      </w:tblPr>
      <w:tblGrid>
        <w:gridCol w:w="536"/>
        <w:gridCol w:w="994"/>
        <w:gridCol w:w="1243"/>
        <w:gridCol w:w="931"/>
        <w:gridCol w:w="1253"/>
        <w:gridCol w:w="1141"/>
        <w:gridCol w:w="978"/>
        <w:gridCol w:w="981"/>
        <w:gridCol w:w="1045"/>
      </w:tblGrid>
      <w:tr>
        <w:tblPrEx>
          <w:tblLayout w:type="fixed"/>
          <w:tblCellMar>
            <w:top w:w="0" w:type="dxa"/>
            <w:left w:w="0" w:type="dxa"/>
            <w:bottom w:w="0" w:type="dxa"/>
            <w:right w:w="0" w:type="dxa"/>
          </w:tblCellMar>
        </w:tblPrEx>
        <w:trPr>
          <w:trHeight w:val="645" w:hRule="atLeast"/>
        </w:trPr>
        <w:tc>
          <w:tcPr>
            <w:tcW w:w="15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姓  名</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性  别</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出生年月</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p>
        </w:tc>
        <w:tc>
          <w:tcPr>
            <w:tcW w:w="202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2寸正面</w:t>
            </w:r>
            <w:r>
              <w:rPr>
                <w:rFonts w:hint="eastAsia" w:ascii="黑体" w:hAnsi="黑体" w:eastAsia="黑体" w:cs="黑体"/>
                <w:bCs/>
                <w:color w:val="000000"/>
                <w:kern w:val="0"/>
                <w:sz w:val="24"/>
                <w:lang w:bidi="ar"/>
              </w:rPr>
              <w:br w:type="textWrapping"/>
            </w:r>
            <w:r>
              <w:rPr>
                <w:rFonts w:hint="eastAsia" w:ascii="黑体" w:hAnsi="黑体" w:eastAsia="黑体" w:cs="黑体"/>
                <w:bCs/>
                <w:color w:val="000000"/>
                <w:kern w:val="0"/>
                <w:sz w:val="24"/>
                <w:lang w:bidi="ar"/>
              </w:rPr>
              <w:t>免冠照片</w:t>
            </w:r>
          </w:p>
        </w:tc>
      </w:tr>
      <w:tr>
        <w:tblPrEx>
          <w:tblLayout w:type="fixed"/>
          <w:tblCellMar>
            <w:top w:w="0" w:type="dxa"/>
            <w:left w:w="0" w:type="dxa"/>
            <w:bottom w:w="0" w:type="dxa"/>
            <w:right w:w="0" w:type="dxa"/>
          </w:tblCellMar>
        </w:tblPrEx>
        <w:trPr>
          <w:trHeight w:val="645" w:hRule="atLeast"/>
        </w:trPr>
        <w:tc>
          <w:tcPr>
            <w:tcW w:w="15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民  族</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籍  贯</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政治面貌</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20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645" w:hRule="atLeast"/>
        </w:trPr>
        <w:tc>
          <w:tcPr>
            <w:tcW w:w="15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参加工作</w:t>
            </w:r>
            <w:r>
              <w:rPr>
                <w:rFonts w:hint="eastAsia" w:ascii="黑体" w:hAnsi="黑体" w:eastAsia="黑体" w:cs="黑体"/>
                <w:bCs/>
                <w:color w:val="000000"/>
                <w:kern w:val="0"/>
                <w:sz w:val="24"/>
                <w:lang w:bidi="ar"/>
              </w:rPr>
              <w:br w:type="textWrapping"/>
            </w:r>
            <w:r>
              <w:rPr>
                <w:rFonts w:hint="eastAsia" w:ascii="黑体" w:hAnsi="黑体" w:eastAsia="黑体" w:cs="黑体"/>
                <w:bCs/>
                <w:color w:val="000000"/>
                <w:kern w:val="0"/>
                <w:sz w:val="24"/>
                <w:lang w:bidi="ar"/>
              </w:rPr>
              <w:t>时间</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婚姻状况</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户籍所在地</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20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930" w:hRule="atLeast"/>
        </w:trPr>
        <w:tc>
          <w:tcPr>
            <w:tcW w:w="15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身份证号码</w:t>
            </w:r>
          </w:p>
        </w:tc>
        <w:tc>
          <w:tcPr>
            <w:tcW w:w="554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20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750" w:hRule="atLeast"/>
        </w:trPr>
        <w:tc>
          <w:tcPr>
            <w:tcW w:w="15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本科</w:t>
            </w:r>
            <w:r>
              <w:rPr>
                <w:rFonts w:hint="eastAsia" w:ascii="黑体" w:hAnsi="黑体" w:eastAsia="黑体" w:cs="黑体"/>
                <w:bCs/>
                <w:color w:val="000000"/>
                <w:kern w:val="0"/>
                <w:sz w:val="24"/>
                <w:lang w:bidi="ar"/>
              </w:rPr>
              <w:br w:type="textWrapping"/>
            </w:r>
            <w:r>
              <w:rPr>
                <w:rFonts w:hint="eastAsia" w:ascii="黑体" w:hAnsi="黑体" w:eastAsia="黑体" w:cs="黑体"/>
                <w:bCs/>
                <w:color w:val="000000"/>
                <w:kern w:val="0"/>
                <w:sz w:val="24"/>
                <w:lang w:bidi="ar"/>
              </w:rPr>
              <w:t>毕业院校</w:t>
            </w:r>
          </w:p>
        </w:tc>
        <w:tc>
          <w:tcPr>
            <w:tcW w:w="2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所学</w:t>
            </w:r>
            <w:r>
              <w:rPr>
                <w:rFonts w:hint="eastAsia" w:ascii="黑体" w:hAnsi="黑体" w:eastAsia="黑体" w:cs="黑体"/>
                <w:bCs/>
                <w:color w:val="000000"/>
                <w:kern w:val="0"/>
                <w:sz w:val="24"/>
                <w:lang w:bidi="ar"/>
              </w:rPr>
              <w:br w:type="textWrapping"/>
            </w:r>
            <w:r>
              <w:rPr>
                <w:rFonts w:hint="eastAsia" w:ascii="黑体" w:hAnsi="黑体" w:eastAsia="黑体" w:cs="黑体"/>
                <w:bCs/>
                <w:color w:val="000000"/>
                <w:kern w:val="0"/>
                <w:sz w:val="24"/>
                <w:lang w:bidi="ar"/>
              </w:rPr>
              <w:t>专业</w:t>
            </w:r>
          </w:p>
        </w:tc>
        <w:tc>
          <w:tcPr>
            <w:tcW w:w="21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毕业</w:t>
            </w:r>
            <w:r>
              <w:rPr>
                <w:rFonts w:hint="eastAsia" w:ascii="黑体" w:hAnsi="黑体" w:eastAsia="黑体" w:cs="黑体"/>
                <w:bCs/>
                <w:color w:val="000000"/>
                <w:kern w:val="0"/>
                <w:sz w:val="24"/>
                <w:lang w:bidi="ar"/>
              </w:rPr>
              <w:br w:type="textWrapping"/>
            </w:r>
            <w:r>
              <w:rPr>
                <w:rFonts w:hint="eastAsia" w:ascii="黑体" w:hAnsi="黑体" w:eastAsia="黑体" w:cs="黑体"/>
                <w:bCs/>
                <w:color w:val="000000"/>
                <w:kern w:val="0"/>
                <w:sz w:val="24"/>
                <w:lang w:bidi="ar"/>
              </w:rPr>
              <w:t>时间</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750" w:hRule="atLeast"/>
        </w:trPr>
        <w:tc>
          <w:tcPr>
            <w:tcW w:w="15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硕士研究生</w:t>
            </w:r>
            <w:r>
              <w:rPr>
                <w:rFonts w:hint="eastAsia" w:ascii="黑体" w:hAnsi="黑体" w:eastAsia="黑体" w:cs="黑体"/>
                <w:bCs/>
                <w:color w:val="000000"/>
                <w:kern w:val="0"/>
                <w:sz w:val="24"/>
                <w:lang w:bidi="ar"/>
              </w:rPr>
              <w:br w:type="textWrapping"/>
            </w:r>
            <w:r>
              <w:rPr>
                <w:rFonts w:hint="eastAsia" w:ascii="黑体" w:hAnsi="黑体" w:eastAsia="黑体" w:cs="黑体"/>
                <w:bCs/>
                <w:color w:val="000000"/>
                <w:kern w:val="0"/>
                <w:sz w:val="24"/>
                <w:lang w:bidi="ar"/>
              </w:rPr>
              <w:t>毕业院校</w:t>
            </w:r>
          </w:p>
        </w:tc>
        <w:tc>
          <w:tcPr>
            <w:tcW w:w="2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所学</w:t>
            </w:r>
            <w:r>
              <w:rPr>
                <w:rFonts w:hint="eastAsia" w:ascii="黑体" w:hAnsi="黑体" w:eastAsia="黑体" w:cs="黑体"/>
                <w:bCs/>
                <w:color w:val="000000"/>
                <w:kern w:val="0"/>
                <w:sz w:val="24"/>
                <w:lang w:bidi="ar"/>
              </w:rPr>
              <w:br w:type="textWrapping"/>
            </w:r>
            <w:r>
              <w:rPr>
                <w:rFonts w:hint="eastAsia" w:ascii="黑体" w:hAnsi="黑体" w:eastAsia="黑体" w:cs="黑体"/>
                <w:bCs/>
                <w:color w:val="000000"/>
                <w:kern w:val="0"/>
                <w:sz w:val="24"/>
                <w:lang w:bidi="ar"/>
              </w:rPr>
              <w:t>专业</w:t>
            </w:r>
          </w:p>
        </w:tc>
        <w:tc>
          <w:tcPr>
            <w:tcW w:w="21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毕业</w:t>
            </w:r>
            <w:r>
              <w:rPr>
                <w:rFonts w:hint="eastAsia" w:ascii="黑体" w:hAnsi="黑体" w:eastAsia="黑体" w:cs="黑体"/>
                <w:bCs/>
                <w:color w:val="000000"/>
                <w:kern w:val="0"/>
                <w:sz w:val="24"/>
                <w:lang w:bidi="ar"/>
              </w:rPr>
              <w:br w:type="textWrapping"/>
            </w:r>
            <w:r>
              <w:rPr>
                <w:rFonts w:hint="eastAsia" w:ascii="黑体" w:hAnsi="黑体" w:eastAsia="黑体" w:cs="黑体"/>
                <w:bCs/>
                <w:color w:val="000000"/>
                <w:kern w:val="0"/>
                <w:sz w:val="24"/>
                <w:lang w:bidi="ar"/>
              </w:rPr>
              <w:t>时间</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615" w:hRule="atLeast"/>
        </w:trPr>
        <w:tc>
          <w:tcPr>
            <w:tcW w:w="1530"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联系地址</w:t>
            </w:r>
          </w:p>
        </w:tc>
        <w:tc>
          <w:tcPr>
            <w:tcW w:w="2174"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2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联系电话</w:t>
            </w:r>
          </w:p>
        </w:tc>
        <w:tc>
          <w:tcPr>
            <w:tcW w:w="2119"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电子邮箱</w:t>
            </w:r>
          </w:p>
        </w:tc>
        <w:tc>
          <w:tcPr>
            <w:tcW w:w="104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325" w:hRule="atLeast"/>
        </w:trPr>
        <w:tc>
          <w:tcPr>
            <w:tcW w:w="1530"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bCs/>
                <w:color w:val="000000"/>
                <w:kern w:val="0"/>
                <w:sz w:val="24"/>
                <w:lang w:bidi="ar"/>
              </w:rPr>
            </w:pPr>
          </w:p>
        </w:tc>
        <w:tc>
          <w:tcPr>
            <w:tcW w:w="2174"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25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bCs/>
                <w:color w:val="000000"/>
                <w:kern w:val="0"/>
                <w:sz w:val="24"/>
                <w:lang w:eastAsia="zh-CN" w:bidi="ar"/>
              </w:rPr>
            </w:pPr>
            <w:r>
              <w:rPr>
                <w:rFonts w:hint="eastAsia" w:ascii="黑体" w:hAnsi="黑体" w:eastAsia="黑体" w:cs="黑体"/>
                <w:bCs/>
                <w:color w:val="000000"/>
                <w:kern w:val="0"/>
                <w:sz w:val="21"/>
                <w:szCs w:val="21"/>
                <w:lang w:eastAsia="zh-CN" w:bidi="ar"/>
              </w:rPr>
              <w:t>紧急联系人电</w:t>
            </w:r>
            <w:r>
              <w:rPr>
                <w:rFonts w:hint="eastAsia" w:ascii="黑体" w:hAnsi="黑体" w:eastAsia="黑体" w:cs="黑体"/>
                <w:bCs/>
                <w:color w:val="000000"/>
                <w:kern w:val="0"/>
                <w:sz w:val="21"/>
                <w:szCs w:val="21"/>
                <w:lang w:val="en-US" w:eastAsia="zh-CN" w:bidi="ar"/>
              </w:rPr>
              <w:t xml:space="preserve">  </w:t>
            </w:r>
            <w:r>
              <w:rPr>
                <w:rFonts w:hint="eastAsia" w:ascii="黑体" w:hAnsi="黑体" w:eastAsia="黑体" w:cs="黑体"/>
                <w:bCs/>
                <w:color w:val="000000"/>
                <w:kern w:val="0"/>
                <w:sz w:val="21"/>
                <w:szCs w:val="21"/>
                <w:lang w:eastAsia="zh-CN" w:bidi="ar"/>
              </w:rPr>
              <w:t>话</w:t>
            </w:r>
          </w:p>
        </w:tc>
        <w:tc>
          <w:tcPr>
            <w:tcW w:w="2119"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8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bCs/>
                <w:color w:val="000000"/>
                <w:kern w:val="0"/>
                <w:sz w:val="24"/>
                <w:lang w:bidi="ar"/>
              </w:rPr>
            </w:pPr>
          </w:p>
        </w:tc>
        <w:tc>
          <w:tcPr>
            <w:tcW w:w="104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840" w:hRule="atLeast"/>
        </w:trPr>
        <w:tc>
          <w:tcPr>
            <w:tcW w:w="5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个</w:t>
            </w:r>
            <w:r>
              <w:rPr>
                <w:rFonts w:hint="eastAsia" w:ascii="黑体" w:hAnsi="黑体" w:eastAsia="黑体" w:cs="黑体"/>
                <w:bCs/>
                <w:color w:val="000000"/>
                <w:kern w:val="0"/>
                <w:sz w:val="24"/>
                <w:lang w:bidi="ar"/>
              </w:rPr>
              <w:br w:type="textWrapping"/>
            </w:r>
            <w:r>
              <w:rPr>
                <w:rFonts w:hint="eastAsia" w:ascii="黑体" w:hAnsi="黑体" w:eastAsia="黑体" w:cs="黑体"/>
                <w:bCs/>
                <w:color w:val="000000"/>
                <w:kern w:val="0"/>
                <w:sz w:val="24"/>
                <w:lang w:bidi="ar"/>
              </w:rPr>
              <w:br w:type="textWrapping"/>
            </w:r>
            <w:r>
              <w:rPr>
                <w:rFonts w:hint="eastAsia" w:ascii="黑体" w:hAnsi="黑体" w:eastAsia="黑体" w:cs="黑体"/>
                <w:bCs/>
                <w:color w:val="000000"/>
                <w:kern w:val="0"/>
                <w:sz w:val="24"/>
                <w:lang w:bidi="ar"/>
              </w:rPr>
              <w:t>人</w:t>
            </w:r>
            <w:r>
              <w:rPr>
                <w:rFonts w:hint="eastAsia" w:ascii="黑体" w:hAnsi="黑体" w:eastAsia="黑体" w:cs="黑体"/>
                <w:bCs/>
                <w:color w:val="000000"/>
                <w:kern w:val="0"/>
                <w:sz w:val="24"/>
                <w:lang w:bidi="ar"/>
              </w:rPr>
              <w:br w:type="textWrapping"/>
            </w:r>
            <w:r>
              <w:rPr>
                <w:rFonts w:hint="eastAsia" w:ascii="黑体" w:hAnsi="黑体" w:eastAsia="黑体" w:cs="黑体"/>
                <w:bCs/>
                <w:color w:val="000000"/>
                <w:kern w:val="0"/>
                <w:sz w:val="24"/>
                <w:lang w:bidi="ar"/>
              </w:rPr>
              <w:br w:type="textWrapping"/>
            </w:r>
            <w:r>
              <w:rPr>
                <w:rFonts w:hint="eastAsia" w:ascii="黑体" w:hAnsi="黑体" w:eastAsia="黑体" w:cs="黑体"/>
                <w:bCs/>
                <w:color w:val="000000"/>
                <w:kern w:val="0"/>
                <w:sz w:val="24"/>
                <w:lang w:bidi="ar"/>
              </w:rPr>
              <w:t>简</w:t>
            </w:r>
            <w:r>
              <w:rPr>
                <w:rFonts w:hint="eastAsia" w:ascii="黑体" w:hAnsi="黑体" w:eastAsia="黑体" w:cs="黑体"/>
                <w:bCs/>
                <w:color w:val="000000"/>
                <w:kern w:val="0"/>
                <w:sz w:val="24"/>
                <w:lang w:bidi="ar"/>
              </w:rPr>
              <w:br w:type="textWrapping"/>
            </w:r>
            <w:r>
              <w:rPr>
                <w:rFonts w:hint="eastAsia" w:ascii="黑体" w:hAnsi="黑体" w:eastAsia="黑体" w:cs="黑体"/>
                <w:bCs/>
                <w:color w:val="000000"/>
                <w:kern w:val="0"/>
                <w:sz w:val="24"/>
                <w:lang w:bidi="ar"/>
              </w:rPr>
              <w:br w:type="textWrapping"/>
            </w:r>
            <w:r>
              <w:rPr>
                <w:rFonts w:hint="eastAsia" w:ascii="黑体" w:hAnsi="黑体" w:eastAsia="黑体" w:cs="黑体"/>
                <w:bCs/>
                <w:color w:val="000000"/>
                <w:kern w:val="0"/>
                <w:sz w:val="24"/>
                <w:lang w:bidi="ar"/>
              </w:rPr>
              <w:t>历</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起始时间</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终止时间</w:t>
            </w:r>
          </w:p>
        </w:tc>
        <w:tc>
          <w:tcPr>
            <w:tcW w:w="430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学习及工作情况(自初中填起)</w:t>
            </w:r>
          </w:p>
        </w:tc>
        <w:tc>
          <w:tcPr>
            <w:tcW w:w="20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任(兼)何职务</w:t>
            </w:r>
          </w:p>
        </w:tc>
      </w:tr>
      <w:tr>
        <w:tblPrEx>
          <w:tblLayout w:type="fixed"/>
          <w:tblCellMar>
            <w:top w:w="0" w:type="dxa"/>
            <w:left w:w="0" w:type="dxa"/>
            <w:bottom w:w="0" w:type="dxa"/>
            <w:right w:w="0" w:type="dxa"/>
          </w:tblCellMar>
        </w:tblPrEx>
        <w:trPr>
          <w:trHeight w:val="555"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c>
          <w:tcPr>
            <w:tcW w:w="430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20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555"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c>
          <w:tcPr>
            <w:tcW w:w="430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20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555"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c>
          <w:tcPr>
            <w:tcW w:w="430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20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555"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c>
          <w:tcPr>
            <w:tcW w:w="430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20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555"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c>
          <w:tcPr>
            <w:tcW w:w="430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20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555" w:hRule="atLeast"/>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c>
          <w:tcPr>
            <w:tcW w:w="430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20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1455" w:hRule="atLeast"/>
        </w:trPr>
        <w:tc>
          <w:tcPr>
            <w:tcW w:w="15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获奖情况</w:t>
            </w:r>
          </w:p>
        </w:tc>
        <w:tc>
          <w:tcPr>
            <w:tcW w:w="7572"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570" w:hRule="atLeast"/>
        </w:trPr>
        <w:tc>
          <w:tcPr>
            <w:tcW w:w="5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已公开发表出版的论文及著作</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发表时间</w:t>
            </w:r>
          </w:p>
        </w:tc>
        <w:tc>
          <w:tcPr>
            <w:tcW w:w="45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论文或著作名称</w:t>
            </w:r>
          </w:p>
        </w:tc>
        <w:tc>
          <w:tcPr>
            <w:tcW w:w="19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期刊或出版社名称</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本人排名</w:t>
            </w:r>
          </w:p>
        </w:tc>
      </w:tr>
      <w:tr>
        <w:tblPrEx>
          <w:tblLayout w:type="fixed"/>
          <w:tblCellMar>
            <w:top w:w="0" w:type="dxa"/>
            <w:left w:w="0" w:type="dxa"/>
            <w:bottom w:w="0" w:type="dxa"/>
            <w:right w:w="0" w:type="dxa"/>
          </w:tblCellMar>
        </w:tblPrEx>
        <w:trPr>
          <w:trHeight w:val="600"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45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9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600"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45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9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600"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45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9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600"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45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9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505" w:hRule="atLeast"/>
        </w:trPr>
        <w:tc>
          <w:tcPr>
            <w:tcW w:w="5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承担的科研项目</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时间</w:t>
            </w:r>
          </w:p>
        </w:tc>
        <w:tc>
          <w:tcPr>
            <w:tcW w:w="45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项目名称</w:t>
            </w:r>
          </w:p>
        </w:tc>
        <w:tc>
          <w:tcPr>
            <w:tcW w:w="19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项目级别及类别</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本人排名</w:t>
            </w:r>
          </w:p>
        </w:tc>
      </w:tr>
      <w:tr>
        <w:tblPrEx>
          <w:tblLayout w:type="fixed"/>
          <w:tblCellMar>
            <w:top w:w="0" w:type="dxa"/>
            <w:left w:w="0" w:type="dxa"/>
            <w:bottom w:w="0" w:type="dxa"/>
            <w:right w:w="0" w:type="dxa"/>
          </w:tblCellMar>
        </w:tblPrEx>
        <w:trPr>
          <w:trHeight w:val="600"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45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9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600"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45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9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600"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45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9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600"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45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9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600"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45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9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r>
      <w:tr>
        <w:tblPrEx>
          <w:tblLayout w:type="fixed"/>
          <w:tblCellMar>
            <w:top w:w="0" w:type="dxa"/>
            <w:left w:w="0" w:type="dxa"/>
            <w:bottom w:w="0" w:type="dxa"/>
            <w:right w:w="0" w:type="dxa"/>
          </w:tblCellMar>
        </w:tblPrEx>
        <w:trPr>
          <w:trHeight w:val="555" w:hRule="atLeast"/>
        </w:trPr>
        <w:tc>
          <w:tcPr>
            <w:tcW w:w="5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家庭</w:t>
            </w:r>
            <w:r>
              <w:rPr>
                <w:rFonts w:hint="eastAsia" w:ascii="黑体" w:hAnsi="黑体" w:eastAsia="黑体" w:cs="黑体"/>
                <w:bCs/>
                <w:color w:val="000000"/>
                <w:kern w:val="0"/>
                <w:sz w:val="24"/>
                <w:lang w:bidi="ar"/>
              </w:rPr>
              <w:br w:type="textWrapping"/>
            </w:r>
            <w:r>
              <w:rPr>
                <w:rFonts w:hint="eastAsia" w:ascii="黑体" w:hAnsi="黑体" w:eastAsia="黑体" w:cs="黑体"/>
                <w:bCs/>
                <w:color w:val="000000"/>
                <w:kern w:val="0"/>
                <w:sz w:val="24"/>
                <w:lang w:bidi="ar"/>
              </w:rPr>
              <w:t>成员及 主要社会关系</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称  谓</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姓  名</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年龄</w:t>
            </w:r>
          </w:p>
        </w:tc>
        <w:tc>
          <w:tcPr>
            <w:tcW w:w="539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工作单位及职务</w:t>
            </w:r>
          </w:p>
        </w:tc>
      </w:tr>
      <w:tr>
        <w:tblPrEx>
          <w:tblLayout w:type="fixed"/>
          <w:tblCellMar>
            <w:top w:w="0" w:type="dxa"/>
            <w:left w:w="0" w:type="dxa"/>
            <w:bottom w:w="0" w:type="dxa"/>
            <w:right w:w="0" w:type="dxa"/>
          </w:tblCellMar>
        </w:tblPrEx>
        <w:trPr>
          <w:trHeight w:val="600"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2"/>
                <w:szCs w:val="22"/>
              </w:rPr>
            </w:pP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2"/>
                <w:szCs w:val="22"/>
              </w:rPr>
            </w:pPr>
          </w:p>
        </w:tc>
        <w:tc>
          <w:tcPr>
            <w:tcW w:w="539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2"/>
                <w:szCs w:val="22"/>
              </w:rPr>
            </w:pPr>
          </w:p>
        </w:tc>
      </w:tr>
      <w:tr>
        <w:tblPrEx>
          <w:tblLayout w:type="fixed"/>
          <w:tblCellMar>
            <w:top w:w="0" w:type="dxa"/>
            <w:left w:w="0" w:type="dxa"/>
            <w:bottom w:w="0" w:type="dxa"/>
            <w:right w:w="0" w:type="dxa"/>
          </w:tblCellMar>
        </w:tblPrEx>
        <w:trPr>
          <w:trHeight w:val="600"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539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2"/>
                <w:szCs w:val="22"/>
              </w:rPr>
            </w:pPr>
          </w:p>
        </w:tc>
      </w:tr>
      <w:tr>
        <w:tblPrEx>
          <w:tblLayout w:type="fixed"/>
          <w:tblCellMar>
            <w:top w:w="0" w:type="dxa"/>
            <w:left w:w="0" w:type="dxa"/>
            <w:bottom w:w="0" w:type="dxa"/>
            <w:right w:w="0" w:type="dxa"/>
          </w:tblCellMar>
        </w:tblPrEx>
        <w:trPr>
          <w:trHeight w:val="600"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539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2"/>
                <w:szCs w:val="22"/>
              </w:rPr>
            </w:pPr>
          </w:p>
        </w:tc>
      </w:tr>
      <w:tr>
        <w:tblPrEx>
          <w:tblLayout w:type="fixed"/>
          <w:tblCellMar>
            <w:top w:w="0" w:type="dxa"/>
            <w:left w:w="0" w:type="dxa"/>
            <w:bottom w:w="0" w:type="dxa"/>
            <w:right w:w="0" w:type="dxa"/>
          </w:tblCellMar>
        </w:tblPrEx>
        <w:trPr>
          <w:trHeight w:val="600"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539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2"/>
                <w:szCs w:val="22"/>
              </w:rPr>
            </w:pPr>
          </w:p>
        </w:tc>
      </w:tr>
      <w:tr>
        <w:tblPrEx>
          <w:tblLayout w:type="fixed"/>
          <w:tblCellMar>
            <w:top w:w="0" w:type="dxa"/>
            <w:left w:w="0" w:type="dxa"/>
            <w:bottom w:w="0" w:type="dxa"/>
            <w:right w:w="0" w:type="dxa"/>
          </w:tblCellMar>
        </w:tblPrEx>
        <w:trPr>
          <w:trHeight w:val="600" w:hRule="atLeast"/>
        </w:trPr>
        <w:tc>
          <w:tcPr>
            <w:tcW w:w="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黑体" w:eastAsia="黑体" w:cs="黑体"/>
                <w:bCs/>
                <w:color w:val="000000"/>
                <w:sz w:val="24"/>
              </w:rPr>
            </w:pP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4"/>
              </w:rPr>
            </w:pPr>
          </w:p>
        </w:tc>
        <w:tc>
          <w:tcPr>
            <w:tcW w:w="539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黑体" w:eastAsia="黑体" w:cs="黑体"/>
                <w:bCs/>
                <w:color w:val="000000"/>
                <w:sz w:val="22"/>
                <w:szCs w:val="22"/>
              </w:rPr>
            </w:pPr>
          </w:p>
        </w:tc>
      </w:tr>
      <w:tr>
        <w:tblPrEx>
          <w:tblLayout w:type="fixed"/>
          <w:tblCellMar>
            <w:top w:w="0" w:type="dxa"/>
            <w:left w:w="0" w:type="dxa"/>
            <w:bottom w:w="0" w:type="dxa"/>
            <w:right w:w="0" w:type="dxa"/>
          </w:tblCellMar>
        </w:tblPrEx>
        <w:trPr>
          <w:trHeight w:val="2195" w:hRule="atLeast"/>
        </w:trPr>
        <w:tc>
          <w:tcPr>
            <w:tcW w:w="1530"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40" w:lineRule="exact"/>
              <w:jc w:val="both"/>
              <w:textAlignment w:val="center"/>
              <w:rPr>
                <w:rFonts w:hint="eastAsia" w:ascii="黑体" w:hAnsi="黑体" w:eastAsia="黑体" w:cs="黑体"/>
                <w:bCs/>
                <w:color w:val="000000"/>
                <w:sz w:val="28"/>
                <w:szCs w:val="28"/>
                <w:lang w:eastAsia="zh-CN"/>
              </w:rPr>
            </w:pPr>
            <w:r>
              <w:rPr>
                <w:rFonts w:hint="eastAsia" w:ascii="黑体" w:hAnsi="黑体" w:eastAsia="黑体" w:cs="黑体"/>
                <w:bCs/>
                <w:color w:val="000000"/>
                <w:sz w:val="28"/>
                <w:szCs w:val="28"/>
                <w:lang w:eastAsia="zh-CN"/>
              </w:rPr>
              <w:t>所在单位</w:t>
            </w:r>
          </w:p>
          <w:p>
            <w:pPr>
              <w:widowControl/>
              <w:spacing w:line="340" w:lineRule="exact"/>
              <w:jc w:val="both"/>
              <w:textAlignment w:val="center"/>
              <w:rPr>
                <w:rFonts w:hint="eastAsia" w:ascii="黑体" w:hAnsi="黑体" w:eastAsia="黑体" w:cs="黑体"/>
                <w:bCs/>
                <w:color w:val="000000"/>
                <w:sz w:val="28"/>
                <w:szCs w:val="28"/>
                <w:lang w:eastAsia="zh-CN"/>
              </w:rPr>
            </w:pPr>
            <w:r>
              <w:rPr>
                <w:rFonts w:hint="eastAsia" w:ascii="黑体" w:hAnsi="黑体" w:eastAsia="黑体" w:cs="黑体"/>
                <w:bCs/>
                <w:color w:val="000000"/>
                <w:sz w:val="28"/>
                <w:szCs w:val="28"/>
                <w:lang w:eastAsia="zh-CN"/>
              </w:rPr>
              <w:t>报考意见</w:t>
            </w:r>
          </w:p>
        </w:tc>
        <w:tc>
          <w:tcPr>
            <w:tcW w:w="7572" w:type="dxa"/>
            <w:gridSpan w:val="7"/>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40" w:lineRule="exact"/>
              <w:jc w:val="left"/>
              <w:textAlignment w:val="center"/>
              <w:rPr>
                <w:rFonts w:hint="eastAsia" w:ascii="黑体" w:hAnsi="黑体" w:eastAsia="黑体" w:cs="黑体"/>
                <w:bCs/>
                <w:color w:val="000000"/>
                <w:sz w:val="28"/>
                <w:szCs w:val="28"/>
                <w:lang w:val="en-US" w:eastAsia="zh-CN"/>
              </w:rPr>
            </w:pPr>
            <w:r>
              <w:rPr>
                <w:rFonts w:hint="eastAsia" w:ascii="黑体" w:hAnsi="黑体" w:eastAsia="黑体" w:cs="黑体"/>
                <w:bCs/>
                <w:color w:val="000000"/>
                <w:sz w:val="28"/>
                <w:szCs w:val="28"/>
                <w:lang w:val="en-US" w:eastAsia="zh-CN"/>
              </w:rPr>
              <w:t xml:space="preserve">   </w:t>
            </w:r>
          </w:p>
          <w:p>
            <w:pPr>
              <w:widowControl/>
              <w:spacing w:line="340" w:lineRule="exact"/>
              <w:jc w:val="left"/>
              <w:textAlignment w:val="center"/>
              <w:rPr>
                <w:rFonts w:hint="eastAsia" w:ascii="黑体" w:hAnsi="黑体" w:eastAsia="黑体" w:cs="黑体"/>
                <w:bCs/>
                <w:color w:val="000000"/>
                <w:sz w:val="28"/>
                <w:szCs w:val="28"/>
                <w:lang w:val="en-US" w:eastAsia="zh-CN"/>
              </w:rPr>
            </w:pPr>
          </w:p>
          <w:p>
            <w:pPr>
              <w:widowControl/>
              <w:spacing w:line="340" w:lineRule="exact"/>
              <w:jc w:val="left"/>
              <w:textAlignment w:val="center"/>
              <w:rPr>
                <w:rFonts w:hint="eastAsia" w:ascii="黑体" w:hAnsi="黑体" w:eastAsia="黑体" w:cs="黑体"/>
                <w:bCs/>
                <w:color w:val="000000"/>
                <w:sz w:val="28"/>
                <w:szCs w:val="28"/>
                <w:lang w:val="en-US" w:eastAsia="zh-CN"/>
              </w:rPr>
            </w:pPr>
          </w:p>
          <w:p>
            <w:pPr>
              <w:widowControl/>
              <w:spacing w:line="340" w:lineRule="exact"/>
              <w:ind w:firstLine="2520" w:firstLineChars="900"/>
              <w:jc w:val="left"/>
              <w:textAlignment w:val="center"/>
              <w:rPr>
                <w:rFonts w:hint="eastAsia" w:ascii="黑体" w:hAnsi="黑体" w:eastAsia="黑体" w:cs="黑体"/>
                <w:bCs/>
                <w:color w:val="000000"/>
                <w:sz w:val="28"/>
                <w:szCs w:val="28"/>
                <w:lang w:val="en-US" w:eastAsia="zh-CN"/>
              </w:rPr>
            </w:pPr>
          </w:p>
          <w:p>
            <w:pPr>
              <w:widowControl/>
              <w:spacing w:line="340" w:lineRule="exact"/>
              <w:ind w:firstLine="2520" w:firstLineChars="900"/>
              <w:jc w:val="left"/>
              <w:textAlignment w:val="center"/>
              <w:rPr>
                <w:rFonts w:hint="eastAsia" w:ascii="仿宋_GB2312" w:hAnsi="仿宋_GB2312" w:eastAsia="仿宋_GB2312" w:cs="仿宋_GB2312"/>
                <w:bCs/>
                <w:color w:val="000000"/>
                <w:sz w:val="28"/>
                <w:szCs w:val="28"/>
                <w:lang w:val="en-US" w:eastAsia="zh-CN"/>
              </w:rPr>
            </w:pPr>
            <w:r>
              <w:rPr>
                <w:rFonts w:hint="eastAsia" w:ascii="黑体" w:hAnsi="黑体" w:eastAsia="黑体" w:cs="黑体"/>
                <w:bCs/>
                <w:color w:val="000000"/>
                <w:sz w:val="28"/>
                <w:szCs w:val="28"/>
                <w:lang w:val="en-US" w:eastAsia="zh-CN"/>
              </w:rPr>
              <w:t>负责人：</w:t>
            </w:r>
            <w:r>
              <w:rPr>
                <w:rFonts w:hint="eastAsia" w:ascii="仿宋_GB2312" w:hAnsi="仿宋_GB2312" w:eastAsia="仿宋_GB2312" w:cs="仿宋_GB2312"/>
                <w:bCs/>
                <w:color w:val="000000"/>
                <w:sz w:val="28"/>
                <w:szCs w:val="28"/>
                <w:lang w:val="en-US" w:eastAsia="zh-CN"/>
              </w:rPr>
              <w:t xml:space="preserve">            </w:t>
            </w:r>
          </w:p>
          <w:p>
            <w:pPr>
              <w:widowControl/>
              <w:spacing w:line="340" w:lineRule="exact"/>
              <w:ind w:firstLine="5040" w:firstLineChars="1800"/>
              <w:jc w:val="left"/>
              <w:textAlignment w:val="center"/>
              <w:rPr>
                <w:rFonts w:hint="default" w:ascii="黑体" w:hAnsi="黑体" w:eastAsia="黑体" w:cs="黑体"/>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（单位盖章）</w:t>
            </w:r>
          </w:p>
        </w:tc>
      </w:tr>
    </w:tbl>
    <w:p>
      <w:pPr>
        <w:rPr>
          <w:rFonts w:ascii="仿宋_GB2312" w:hAnsi="仿宋_GB2312" w:eastAsia="仿宋_GB2312" w:cs="仿宋_GB2312"/>
          <w:sz w:val="32"/>
          <w:szCs w:val="32"/>
        </w:rPr>
        <w:sectPr>
          <w:footerReference r:id="rId3" w:type="default"/>
          <w:pgSz w:w="11906" w:h="16838"/>
          <w:pgMar w:top="1417" w:right="1417" w:bottom="1417" w:left="141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pacing w:val="-20"/>
          <w:w w:val="100"/>
          <w:sz w:val="40"/>
          <w:szCs w:val="40"/>
          <w:highlight w:val="none"/>
          <w:lang w:val="en-US" w:eastAsia="zh-CN"/>
        </w:rPr>
      </w:pPr>
      <w:r>
        <w:rPr>
          <w:rFonts w:hint="eastAsia" w:ascii="方正小标宋简体" w:hAnsi="方正小标宋简体" w:eastAsia="方正小标宋简体" w:cs="方正小标宋简体"/>
          <w:b w:val="0"/>
          <w:bCs w:val="0"/>
          <w:color w:val="auto"/>
          <w:spacing w:val="-20"/>
          <w:w w:val="100"/>
          <w:sz w:val="40"/>
          <w:szCs w:val="40"/>
          <w:highlight w:val="none"/>
          <w:lang w:val="en-US" w:eastAsia="zh-CN"/>
        </w:rPr>
        <w:t>中共绵阳市游仙区委党校2021年下半年公开选聘专职教师考生新冠肺炎疫情防控告知暨承诺书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为深入贯彻落实新冠肺炎疫情防控有关要求，全力确保每一位考生安全健康，现就疫情防</w:t>
      </w:r>
      <w:r>
        <w:rPr>
          <w:rFonts w:hint="eastAsia" w:ascii="仿宋_GB2312" w:hAnsi="仿宋_GB2312" w:eastAsia="仿宋_GB2312" w:cs="仿宋_GB2312"/>
          <w:color w:val="auto"/>
          <w:sz w:val="32"/>
          <w:szCs w:val="32"/>
          <w:highlight w:val="none"/>
          <w:lang w:eastAsia="zh-CN"/>
        </w:rPr>
        <w:t>控</w:t>
      </w:r>
      <w:r>
        <w:rPr>
          <w:rFonts w:hint="eastAsia" w:ascii="仿宋_GB2312" w:hAnsi="仿宋_GB2312" w:eastAsia="仿宋_GB2312" w:cs="仿宋_GB2312"/>
          <w:color w:val="auto"/>
          <w:sz w:val="32"/>
          <w:szCs w:val="32"/>
          <w:highlight w:val="none"/>
          <w:lang w:val="en-US" w:eastAsia="zh-CN"/>
        </w:rPr>
        <w:t>事项告知如下</w:t>
      </w:r>
      <w:r>
        <w:rPr>
          <w:rFonts w:hint="eastAsia" w:ascii="仿宋_GB2312" w:hAnsi="仿宋_GB2312" w:eastAsia="仿宋_GB2312" w:cs="仿宋_GB2312"/>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请广大考生注意做好自我健康管理，通过微信小程序“国家政务服务平台”申领本人防疫健康码，并持续关注健康码状态。</w:t>
      </w:r>
      <w:r>
        <w:rPr>
          <w:rFonts w:ascii="仿宋_GB2312" w:hAnsi="仿宋_GB2312" w:eastAsia="仿宋_GB2312" w:cs="仿宋_GB2312"/>
          <w:color w:val="auto"/>
          <w:sz w:val="32"/>
          <w:szCs w:val="32"/>
          <w:highlight w:val="none"/>
        </w:rPr>
        <w:t xml:space="preserve"> </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40" w:firstLineChars="200"/>
        <w:jc w:val="both"/>
        <w:textAlignment w:val="auto"/>
        <w:rPr>
          <w:rFonts w:ascii="仿宋_GB2312" w:hAnsi="Times New Roman" w:eastAsia="仿宋_GB2312" w:cstheme="minorBidi"/>
          <w:bCs/>
          <w:color w:val="auto"/>
          <w:kern w:val="2"/>
          <w:sz w:val="32"/>
          <w:szCs w:val="32"/>
          <w:highlight w:val="none"/>
          <w:lang w:val="en-US" w:eastAsia="zh-CN" w:bidi="ar"/>
        </w:rPr>
      </w:pPr>
      <w:r>
        <w:rPr>
          <w:rFonts w:ascii="仿宋_GB2312" w:hAnsi="仿宋_GB2312" w:eastAsia="仿宋_GB2312" w:cs="仿宋_GB2312"/>
          <w:color w:val="auto"/>
          <w:kern w:val="0"/>
          <w:sz w:val="32"/>
          <w:szCs w:val="32"/>
          <w:highlight w:val="none"/>
          <w:lang w:val="en-US" w:eastAsia="zh-CN" w:bidi="ar"/>
        </w:rPr>
        <w:t>2.</w:t>
      </w:r>
      <w:r>
        <w:rPr>
          <w:rFonts w:hint="eastAsia" w:ascii="仿宋_GB2312" w:hAnsi="Times New Roman" w:eastAsia="仿宋_GB2312" w:cstheme="minorBidi"/>
          <w:bCs/>
          <w:color w:val="auto"/>
          <w:kern w:val="2"/>
          <w:sz w:val="32"/>
          <w:szCs w:val="32"/>
          <w:highlight w:val="none"/>
          <w:lang w:val="en-US" w:eastAsia="zh-CN" w:bidi="ar"/>
        </w:rPr>
        <w:t>考生前往游仙区委党校参加考试和体检时如确需乘坐公共交通工具应做好个人防护，全程佩戴口罩，</w:t>
      </w:r>
      <w:r>
        <w:rPr>
          <w:rFonts w:hint="eastAsia" w:ascii="仿宋_GB2312" w:hAnsi="仿宋_GB2312" w:eastAsia="仿宋_GB2312" w:cs="仿宋_GB2312"/>
          <w:color w:val="auto"/>
          <w:kern w:val="0"/>
          <w:sz w:val="32"/>
          <w:szCs w:val="32"/>
          <w:highlight w:val="none"/>
          <w:lang w:val="en-US" w:eastAsia="zh-CN" w:bidi="ar"/>
        </w:rPr>
        <w:t>可佩戴一次性手套，并做好手部卫生，同时注意社交距离。</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Times New Roman" w:eastAsia="仿宋_GB2312" w:cstheme="minorBidi"/>
          <w:bCs/>
          <w:color w:val="auto"/>
          <w:sz w:val="32"/>
          <w:szCs w:val="32"/>
          <w:highlight w:val="none"/>
        </w:rPr>
        <w:t>考生在</w:t>
      </w:r>
      <w:r>
        <w:rPr>
          <w:rFonts w:hint="eastAsia" w:ascii="仿宋_GB2312" w:hAnsi="Times New Roman" w:eastAsia="仿宋_GB2312" w:cstheme="minorBidi"/>
          <w:bCs/>
          <w:color w:val="auto"/>
          <w:sz w:val="32"/>
          <w:szCs w:val="32"/>
          <w:highlight w:val="none"/>
          <w:lang w:val="en-US" w:eastAsia="zh-CN"/>
        </w:rPr>
        <w:t>考试、</w:t>
      </w:r>
      <w:r>
        <w:rPr>
          <w:rFonts w:hint="eastAsia" w:ascii="仿宋_GB2312" w:hAnsi="Times New Roman" w:eastAsia="仿宋_GB2312" w:cstheme="minorBidi"/>
          <w:bCs/>
          <w:color w:val="auto"/>
          <w:sz w:val="32"/>
          <w:szCs w:val="32"/>
          <w:highlight w:val="none"/>
        </w:rPr>
        <w:t>体检等招</w:t>
      </w:r>
      <w:r>
        <w:rPr>
          <w:rFonts w:hint="eastAsia" w:ascii="仿宋_GB2312" w:hAnsi="仿宋_GB2312" w:eastAsia="仿宋_GB2312" w:cs="仿宋_GB2312"/>
          <w:color w:val="auto"/>
          <w:sz w:val="32"/>
          <w:szCs w:val="32"/>
          <w:highlight w:val="none"/>
        </w:rPr>
        <w:t>聘过程中应佩戴口罩；</w:t>
      </w:r>
      <w:r>
        <w:rPr>
          <w:rFonts w:hint="eastAsia" w:ascii="仿宋_GB2312" w:hAnsi="仿宋_GB2312" w:eastAsia="仿宋_GB2312" w:cs="仿宋_GB2312"/>
          <w:color w:val="auto"/>
          <w:sz w:val="32"/>
          <w:szCs w:val="32"/>
          <w:highlight w:val="none"/>
          <w:lang w:eastAsia="zh-CN"/>
        </w:rPr>
        <w:t>笔试、</w:t>
      </w:r>
      <w:r>
        <w:rPr>
          <w:rFonts w:hint="eastAsia" w:ascii="仿宋_GB2312" w:hAnsi="仿宋_GB2312" w:eastAsia="仿宋_GB2312" w:cs="仿宋_GB2312"/>
          <w:color w:val="auto"/>
          <w:sz w:val="32"/>
          <w:szCs w:val="32"/>
          <w:highlight w:val="none"/>
        </w:rPr>
        <w:t>面试</w:t>
      </w:r>
      <w:r>
        <w:rPr>
          <w:rFonts w:hint="eastAsia" w:ascii="仿宋_GB2312" w:hAnsi="仿宋_GB2312" w:eastAsia="仿宋_GB2312" w:cs="仿宋_GB2312"/>
          <w:color w:val="auto"/>
          <w:sz w:val="32"/>
          <w:szCs w:val="32"/>
          <w:highlight w:val="none"/>
          <w:lang w:eastAsia="zh-CN"/>
        </w:rPr>
        <w:t>和试讲</w:t>
      </w:r>
      <w:r>
        <w:rPr>
          <w:rFonts w:hint="eastAsia" w:ascii="仿宋_GB2312" w:hAnsi="仿宋_GB2312" w:eastAsia="仿宋_GB2312" w:cs="仿宋_GB2312"/>
          <w:color w:val="auto"/>
          <w:sz w:val="32"/>
          <w:szCs w:val="32"/>
          <w:highlight w:val="none"/>
        </w:rPr>
        <w:t>前，</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提前</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小时到达</w:t>
      </w:r>
      <w:r>
        <w:rPr>
          <w:rFonts w:hint="eastAsia" w:ascii="仿宋_GB2312" w:hAnsi="仿宋_GB2312" w:eastAsia="仿宋_GB2312" w:cs="仿宋_GB2312"/>
          <w:color w:val="auto"/>
          <w:sz w:val="32"/>
          <w:szCs w:val="32"/>
          <w:highlight w:val="none"/>
          <w:lang w:eastAsia="zh-CN"/>
        </w:rPr>
        <w:t>考试</w:t>
      </w:r>
      <w:r>
        <w:rPr>
          <w:rFonts w:hint="eastAsia" w:ascii="仿宋_GB2312" w:hAnsi="仿宋_GB2312" w:eastAsia="仿宋_GB2312" w:cs="仿宋_GB2312"/>
          <w:color w:val="auto"/>
          <w:sz w:val="32"/>
          <w:szCs w:val="32"/>
          <w:highlight w:val="none"/>
        </w:rPr>
        <w:t>场地；进入</w:t>
      </w:r>
      <w:r>
        <w:rPr>
          <w:rFonts w:hint="eastAsia" w:ascii="仿宋_GB2312" w:hAnsi="Times New Roman" w:eastAsia="仿宋_GB2312" w:cstheme="minorBidi"/>
          <w:bCs/>
          <w:color w:val="auto"/>
          <w:sz w:val="32"/>
          <w:szCs w:val="32"/>
          <w:highlight w:val="none"/>
          <w:lang w:val="en-US" w:eastAsia="zh-CN"/>
        </w:rPr>
        <w:t>考试、</w:t>
      </w:r>
      <w:r>
        <w:rPr>
          <w:rFonts w:hint="eastAsia" w:ascii="仿宋_GB2312" w:hAnsi="仿宋_GB2312" w:eastAsia="仿宋_GB2312" w:cs="仿宋_GB2312"/>
          <w:color w:val="auto"/>
          <w:sz w:val="32"/>
          <w:szCs w:val="32"/>
          <w:highlight w:val="none"/>
        </w:rPr>
        <w:t>体检场地时应当主动出示本人防疫健康码信息（绿码），并按要求主动接受体温测量；经现场测量体温正常（＜</w:t>
      </w:r>
      <w:r>
        <w:rPr>
          <w:rFonts w:ascii="仿宋_GB2312" w:hAnsi="仿宋_GB2312" w:eastAsia="仿宋_GB2312" w:cs="仿宋_GB2312"/>
          <w:color w:val="auto"/>
          <w:sz w:val="32"/>
          <w:szCs w:val="32"/>
          <w:highlight w:val="none"/>
        </w:rPr>
        <w:t>37.3</w:t>
      </w:r>
      <w:r>
        <w:rPr>
          <w:rFonts w:hint="eastAsia" w:ascii="仿宋_GB2312" w:hAnsi="仿宋_GB2312" w:eastAsia="仿宋_GB2312" w:cs="仿宋_GB2312"/>
          <w:color w:val="auto"/>
          <w:sz w:val="32"/>
          <w:szCs w:val="32"/>
          <w:highlight w:val="none"/>
        </w:rPr>
        <w:t>℃），且无咳嗽等呼吸道异常症状者方可进入考点。</w:t>
      </w:r>
      <w:r>
        <w:rPr>
          <w:rFonts w:ascii="仿宋_GB2312" w:hAnsi="仿宋_GB2312" w:eastAsia="仿宋_GB2312" w:cs="仿宋_GB2312"/>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Times New Roman" w:eastAsia="仿宋_GB2312" w:cstheme="minorBidi"/>
          <w:bCs/>
          <w:color w:val="auto"/>
          <w:sz w:val="32"/>
          <w:szCs w:val="32"/>
          <w:highlight w:val="none"/>
        </w:rPr>
      </w:pPr>
      <w:r>
        <w:rPr>
          <w:rFonts w:ascii="仿宋_GB2312" w:hAnsi="仿宋_GB2312" w:eastAsia="仿宋_GB2312" w:cs="仿宋_GB2312"/>
          <w:color w:val="auto"/>
          <w:sz w:val="32"/>
          <w:szCs w:val="32"/>
          <w:highlight w:val="none"/>
        </w:rPr>
        <w:t>4.</w:t>
      </w:r>
      <w:r>
        <w:rPr>
          <w:rFonts w:hint="eastAsia" w:ascii="仿宋_GB2312" w:hAnsi="Times New Roman" w:eastAsia="仿宋_GB2312" w:cstheme="minorBidi"/>
          <w:bCs/>
          <w:color w:val="auto"/>
          <w:sz w:val="32"/>
          <w:szCs w:val="32"/>
          <w:highlight w:val="none"/>
        </w:rPr>
        <w:t>考生在</w:t>
      </w:r>
      <w:r>
        <w:rPr>
          <w:rFonts w:hint="eastAsia" w:ascii="仿宋_GB2312" w:hAnsi="Times New Roman" w:eastAsia="仿宋_GB2312" w:cstheme="minorBidi"/>
          <w:bCs/>
          <w:color w:val="auto"/>
          <w:sz w:val="32"/>
          <w:szCs w:val="32"/>
          <w:highlight w:val="none"/>
          <w:lang w:eastAsia="zh-CN"/>
        </w:rPr>
        <w:t>考试</w:t>
      </w:r>
      <w:r>
        <w:rPr>
          <w:rFonts w:hint="eastAsia" w:ascii="仿宋_GB2312" w:hAnsi="Times New Roman" w:eastAsia="仿宋_GB2312" w:cstheme="minorBidi"/>
          <w:bCs/>
          <w:color w:val="auto"/>
          <w:sz w:val="32"/>
          <w:szCs w:val="32"/>
          <w:highlight w:val="none"/>
        </w:rPr>
        <w:t>、体检前14天内有中高风险地区所在直辖市、省会城市或地级市旅居史，以及公布本土新增感染者但暂未划定中高风险地区所在直辖市、省会城市或地级市旅居史的考生，需提供本人</w:t>
      </w:r>
      <w:r>
        <w:rPr>
          <w:rFonts w:hint="eastAsia" w:ascii="仿宋_GB2312" w:hAnsi="Times New Roman" w:eastAsia="仿宋_GB2312" w:cstheme="minorBidi"/>
          <w:bCs/>
          <w:color w:val="auto"/>
          <w:sz w:val="32"/>
          <w:szCs w:val="32"/>
          <w:highlight w:val="none"/>
          <w:lang w:eastAsia="zh-CN"/>
        </w:rPr>
        <w:t>考试</w:t>
      </w:r>
      <w:r>
        <w:rPr>
          <w:rFonts w:hint="eastAsia" w:ascii="仿宋_GB2312" w:hAnsi="Times New Roman" w:eastAsia="仿宋_GB2312" w:cstheme="minorBidi"/>
          <w:bCs/>
          <w:color w:val="auto"/>
          <w:sz w:val="32"/>
          <w:szCs w:val="32"/>
          <w:highlight w:val="none"/>
        </w:rPr>
        <w:t>、体检前3天内2次（采样时间间隔24小时）新冠病毒核酸检测阴性报告证明</w:t>
      </w:r>
      <w:r>
        <w:rPr>
          <w:rFonts w:hint="eastAsia" w:ascii="仿宋_GB2312" w:hAnsi="Times New Roman" w:eastAsia="仿宋_GB2312" w:cstheme="minorBidi"/>
          <w:bCs/>
          <w:color w:val="auto"/>
          <w:sz w:val="32"/>
          <w:szCs w:val="32"/>
          <w:highlight w:val="none"/>
          <w:lang w:eastAsia="zh-CN"/>
        </w:rPr>
        <w:t>（</w:t>
      </w:r>
      <w:r>
        <w:rPr>
          <w:rFonts w:hint="eastAsia" w:ascii="仿宋_GB2312" w:hAnsi="Times New Roman" w:eastAsia="仿宋_GB2312" w:cstheme="minorBidi"/>
          <w:bCs/>
          <w:color w:val="auto"/>
          <w:sz w:val="32"/>
          <w:szCs w:val="32"/>
          <w:highlight w:val="none"/>
        </w:rPr>
        <w:t>纸质版、电子版均可</w:t>
      </w:r>
      <w:r>
        <w:rPr>
          <w:rFonts w:hint="eastAsia" w:ascii="仿宋_GB2312" w:hAnsi="Times New Roman" w:eastAsia="仿宋_GB2312" w:cstheme="minorBidi"/>
          <w:bCs/>
          <w:color w:val="auto"/>
          <w:sz w:val="32"/>
          <w:szCs w:val="32"/>
          <w:highlight w:val="none"/>
          <w:lang w:eastAsia="zh-CN"/>
        </w:rPr>
        <w:t>）</w:t>
      </w:r>
      <w:r>
        <w:rPr>
          <w:rFonts w:hint="eastAsia" w:ascii="仿宋_GB2312" w:hAnsi="Times New Roman" w:eastAsia="仿宋_GB2312" w:cstheme="minorBidi"/>
          <w:bCs/>
          <w:color w:val="auto"/>
          <w:sz w:val="32"/>
          <w:szCs w:val="32"/>
          <w:highlight w:val="none"/>
        </w:rPr>
        <w:t>，方可参考。</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请考生注意个人防护，自备一次性医用口罩，除核验身份时按要求及时摘戴口罩外，进出</w:t>
      </w:r>
      <w:r>
        <w:rPr>
          <w:rFonts w:hint="eastAsia" w:ascii="仿宋_GB2312" w:hAnsi="仿宋_GB2312" w:eastAsia="仿宋_GB2312" w:cs="仿宋_GB2312"/>
          <w:color w:val="auto"/>
          <w:sz w:val="32"/>
          <w:szCs w:val="32"/>
          <w:highlight w:val="none"/>
          <w:lang w:val="en-US" w:eastAsia="zh-CN"/>
        </w:rPr>
        <w:t>考试</w:t>
      </w:r>
      <w:r>
        <w:rPr>
          <w:rFonts w:hint="eastAsia" w:ascii="仿宋_GB2312" w:hAnsi="仿宋_GB2312" w:eastAsia="仿宋_GB2312" w:cs="仿宋_GB2312"/>
          <w:color w:val="auto"/>
          <w:sz w:val="32"/>
          <w:szCs w:val="32"/>
          <w:highlight w:val="none"/>
        </w:rPr>
        <w:t>、体检场地，参加面试</w:t>
      </w:r>
      <w:r>
        <w:rPr>
          <w:rFonts w:hint="eastAsia" w:ascii="仿宋_GB2312" w:hAnsi="仿宋_GB2312" w:eastAsia="仿宋_GB2312" w:cs="仿宋_GB2312"/>
          <w:color w:val="auto"/>
          <w:sz w:val="32"/>
          <w:szCs w:val="32"/>
          <w:highlight w:val="none"/>
          <w:lang w:eastAsia="zh-CN"/>
        </w:rPr>
        <w:t>、试讲</w:t>
      </w:r>
      <w:r>
        <w:rPr>
          <w:rFonts w:hint="eastAsia" w:ascii="仿宋_GB2312" w:hAnsi="仿宋_GB2312" w:eastAsia="仿宋_GB2312" w:cs="仿宋_GB2312"/>
          <w:color w:val="auto"/>
          <w:sz w:val="32"/>
          <w:szCs w:val="32"/>
          <w:highlight w:val="none"/>
        </w:rPr>
        <w:t>应当全程佩戴口罩。建议考生准备手套、消毒湿巾、速干手消毒剂等防护物资。</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考试</w:t>
      </w:r>
      <w:r>
        <w:rPr>
          <w:rFonts w:hint="eastAsia" w:ascii="仿宋_GB2312" w:hAnsi="仿宋_GB2312" w:eastAsia="仿宋_GB2312" w:cs="仿宋_GB2312"/>
          <w:color w:val="auto"/>
          <w:sz w:val="32"/>
          <w:szCs w:val="32"/>
          <w:highlight w:val="none"/>
        </w:rPr>
        <w:t>期间，考生要自觉维护考试秩序，与其他考生保持安全距离，服从现场工作人员安排，</w:t>
      </w:r>
      <w:r>
        <w:rPr>
          <w:rFonts w:hint="eastAsia" w:ascii="仿宋_GB2312" w:hAnsi="仿宋_GB2312" w:eastAsia="仿宋_GB2312" w:cs="仿宋_GB2312"/>
          <w:color w:val="auto"/>
          <w:sz w:val="32"/>
          <w:szCs w:val="32"/>
          <w:highlight w:val="none"/>
          <w:lang w:eastAsia="zh-CN"/>
        </w:rPr>
        <w:t>考试</w:t>
      </w:r>
      <w:r>
        <w:rPr>
          <w:rFonts w:hint="eastAsia" w:ascii="仿宋_GB2312" w:hAnsi="仿宋_GB2312" w:eastAsia="仿宋_GB2312" w:cs="仿宋_GB2312"/>
          <w:color w:val="auto"/>
          <w:sz w:val="32"/>
          <w:szCs w:val="32"/>
          <w:highlight w:val="none"/>
        </w:rPr>
        <w:t>结束后按规定有序离场。考生在</w:t>
      </w:r>
      <w:r>
        <w:rPr>
          <w:rFonts w:hint="eastAsia" w:ascii="仿宋_GB2312" w:hAnsi="仿宋_GB2312" w:eastAsia="仿宋_GB2312" w:cs="仿宋_GB2312"/>
          <w:color w:val="auto"/>
          <w:sz w:val="32"/>
          <w:szCs w:val="32"/>
          <w:highlight w:val="none"/>
          <w:lang w:eastAsia="zh-CN"/>
        </w:rPr>
        <w:t>考试</w:t>
      </w:r>
      <w:r>
        <w:rPr>
          <w:rFonts w:hint="eastAsia" w:ascii="仿宋_GB2312" w:hAnsi="仿宋_GB2312" w:eastAsia="仿宋_GB2312" w:cs="仿宋_GB2312"/>
          <w:color w:val="auto"/>
          <w:sz w:val="32"/>
          <w:szCs w:val="32"/>
          <w:highlight w:val="none"/>
        </w:rPr>
        <w:t>过程中被发现或主动报告身体不适，经复测复查确有发热、咳嗽等呼吸道异常症状，由驻点医务人员进行个案预判，具备继续完成</w:t>
      </w:r>
      <w:r>
        <w:rPr>
          <w:rFonts w:hint="eastAsia" w:ascii="仿宋_GB2312" w:hAnsi="仿宋_GB2312" w:eastAsia="仿宋_GB2312" w:cs="仿宋_GB2312"/>
          <w:color w:val="auto"/>
          <w:sz w:val="32"/>
          <w:szCs w:val="32"/>
          <w:highlight w:val="none"/>
          <w:lang w:eastAsia="zh-CN"/>
        </w:rPr>
        <w:t>考试</w:t>
      </w:r>
      <w:r>
        <w:rPr>
          <w:rFonts w:hint="eastAsia" w:ascii="仿宋_GB2312" w:hAnsi="仿宋_GB2312" w:eastAsia="仿宋_GB2312" w:cs="仿宋_GB2312"/>
          <w:color w:val="auto"/>
          <w:sz w:val="32"/>
          <w:szCs w:val="32"/>
          <w:highlight w:val="none"/>
        </w:rPr>
        <w:t>条件的考生，安排在备用隔离</w:t>
      </w:r>
      <w:r>
        <w:rPr>
          <w:rFonts w:hint="eastAsia" w:ascii="仿宋_GB2312" w:hAnsi="仿宋_GB2312" w:eastAsia="仿宋_GB2312" w:cs="仿宋_GB2312"/>
          <w:color w:val="auto"/>
          <w:sz w:val="32"/>
          <w:szCs w:val="32"/>
          <w:highlight w:val="none"/>
          <w:lang w:val="en-US" w:eastAsia="zh-CN"/>
        </w:rPr>
        <w:t>考室</w:t>
      </w:r>
      <w:r>
        <w:rPr>
          <w:rFonts w:hint="eastAsia" w:ascii="仿宋_GB2312" w:hAnsi="仿宋_GB2312" w:eastAsia="仿宋_GB2312" w:cs="仿宋_GB2312"/>
          <w:color w:val="auto"/>
          <w:sz w:val="32"/>
          <w:szCs w:val="32"/>
          <w:highlight w:val="none"/>
        </w:rPr>
        <w:t>继续准备并进行面试，考生从普通考场转移至备用隔离考场（未出考点）所耽误的时间，不再予以追加；不具备继续完成考试条件的考生，由驻点医务人员按规定妥善处置。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考生在</w:t>
      </w:r>
      <w:r>
        <w:rPr>
          <w:rFonts w:hint="eastAsia" w:ascii="仿宋_GB2312" w:hAnsi="仿宋_GB2312" w:eastAsia="仿宋_GB2312" w:cs="仿宋_GB2312"/>
          <w:color w:val="auto"/>
          <w:sz w:val="32"/>
          <w:szCs w:val="32"/>
          <w:highlight w:val="none"/>
          <w:lang w:val="en-US" w:eastAsia="zh-CN"/>
        </w:rPr>
        <w:t>报名</w:t>
      </w:r>
      <w:r>
        <w:rPr>
          <w:rFonts w:hint="eastAsia" w:ascii="仿宋_GB2312" w:hAnsi="仿宋_GB2312" w:eastAsia="仿宋_GB2312" w:cs="仿宋_GB2312"/>
          <w:color w:val="auto"/>
          <w:sz w:val="32"/>
          <w:szCs w:val="32"/>
          <w:highlight w:val="none"/>
        </w:rPr>
        <w:t>前应签署《</w:t>
      </w:r>
      <w:r>
        <w:rPr>
          <w:rFonts w:hint="eastAsia" w:ascii="仿宋_GB2312" w:hAnsi="仿宋_GB2312" w:eastAsia="仿宋_GB2312" w:cs="仿宋_GB2312"/>
          <w:color w:val="auto"/>
          <w:sz w:val="32"/>
          <w:szCs w:val="32"/>
          <w:highlight w:val="none"/>
          <w:lang w:val="en-US" w:eastAsia="zh-CN"/>
        </w:rPr>
        <w:t>中共绵阳市游仙区委党校2021年下半年公开选聘专职教师考生新冠肺炎疫情防控告知暨承诺书</w:t>
      </w:r>
      <w:r>
        <w:rPr>
          <w:rFonts w:hint="eastAsia" w:ascii="仿宋_GB2312" w:hAnsi="仿宋_GB2312" w:eastAsia="仿宋_GB2312" w:cs="仿宋_GB2312"/>
          <w:color w:val="auto"/>
          <w:sz w:val="32"/>
          <w:szCs w:val="32"/>
          <w:highlight w:val="none"/>
        </w:rPr>
        <w:t>》，承诺已知悉告知事项和防疫要求，自愿承担因不实承诺应承担的相关责任、接受相应处理。凡隐瞒或谎报旅居史、接触史、健康状况等疫情防控重点信息，不配合工作人员进行防疫检测、询问等造成不良后果的，取消</w:t>
      </w:r>
      <w:r>
        <w:rPr>
          <w:rFonts w:hint="eastAsia" w:ascii="仿宋_GB2312" w:hAnsi="仿宋_GB2312" w:eastAsia="仿宋_GB2312" w:cs="仿宋_GB2312"/>
          <w:color w:val="auto"/>
          <w:sz w:val="32"/>
          <w:szCs w:val="32"/>
          <w:highlight w:val="none"/>
          <w:lang w:val="en-US" w:eastAsia="zh-CN"/>
        </w:rPr>
        <w:t>考试</w:t>
      </w:r>
      <w:r>
        <w:rPr>
          <w:rFonts w:hint="eastAsia" w:ascii="仿宋_GB2312" w:hAnsi="仿宋_GB2312" w:eastAsia="仿宋_GB2312" w:cs="仿宋_GB2312"/>
          <w:color w:val="auto"/>
          <w:sz w:val="32"/>
          <w:szCs w:val="32"/>
          <w:highlight w:val="none"/>
        </w:rPr>
        <w:t>资格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终止考试</w:t>
      </w:r>
      <w:r>
        <w:rPr>
          <w:rFonts w:hint="eastAsia" w:ascii="仿宋_GB2312" w:hAnsi="仿宋_GB2312" w:eastAsia="仿宋_GB2312" w:cs="仿宋_GB2312"/>
          <w:color w:val="auto"/>
          <w:sz w:val="32"/>
          <w:szCs w:val="32"/>
          <w:highlight w:val="none"/>
        </w:rPr>
        <w:t>；如有违法情况，将依法追究法律责任。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鉴于近期国内疫情多点散发、局部集中，考试疫情防控相关规定将根据国家和</w:t>
      </w:r>
      <w:r>
        <w:rPr>
          <w:rFonts w:hint="eastAsia" w:ascii="仿宋_GB2312" w:hAnsi="仿宋_GB2312" w:eastAsia="仿宋_GB2312" w:cs="仿宋_GB2312"/>
          <w:color w:val="auto"/>
          <w:sz w:val="32"/>
          <w:szCs w:val="32"/>
          <w:highlight w:val="none"/>
          <w:lang w:val="en-US" w:eastAsia="zh-CN"/>
        </w:rPr>
        <w:t>省市区</w:t>
      </w:r>
      <w:r>
        <w:rPr>
          <w:rFonts w:hint="eastAsia" w:ascii="仿宋_GB2312" w:hAnsi="仿宋_GB2312" w:eastAsia="仿宋_GB2312" w:cs="仿宋_GB2312"/>
          <w:color w:val="auto"/>
          <w:sz w:val="32"/>
          <w:szCs w:val="32"/>
          <w:highlight w:val="none"/>
        </w:rPr>
        <w:t>疫情防控的总体部署和最新要求进行动态调整，本疫情承诺书的疫情防控要求与</w:t>
      </w:r>
      <w:r>
        <w:rPr>
          <w:rFonts w:hint="eastAsia" w:ascii="仿宋_GB2312" w:hAnsi="仿宋_GB2312" w:eastAsia="仿宋_GB2312" w:cs="仿宋_GB2312"/>
          <w:color w:val="auto"/>
          <w:sz w:val="32"/>
          <w:szCs w:val="32"/>
          <w:highlight w:val="none"/>
          <w:lang w:val="en-US" w:eastAsia="zh-CN"/>
        </w:rPr>
        <w:t>最新</w:t>
      </w:r>
      <w:r>
        <w:rPr>
          <w:rFonts w:hint="eastAsia" w:ascii="仿宋_GB2312" w:hAnsi="仿宋_GB2312" w:eastAsia="仿宋_GB2312" w:cs="仿宋_GB2312"/>
          <w:color w:val="auto"/>
          <w:sz w:val="32"/>
          <w:szCs w:val="32"/>
          <w:highlight w:val="none"/>
        </w:rPr>
        <w:t>疫情防控要求不一致的，以</w:t>
      </w:r>
      <w:r>
        <w:rPr>
          <w:rFonts w:hint="eastAsia" w:ascii="仿宋_GB2312" w:hAnsi="仿宋_GB2312" w:eastAsia="仿宋_GB2312" w:cs="仿宋_GB2312"/>
          <w:color w:val="auto"/>
          <w:sz w:val="32"/>
          <w:szCs w:val="32"/>
          <w:highlight w:val="none"/>
          <w:lang w:val="en-US" w:eastAsia="zh-CN"/>
        </w:rPr>
        <w:t>最新</w:t>
      </w:r>
      <w:r>
        <w:rPr>
          <w:rFonts w:hint="eastAsia" w:ascii="仿宋_GB2312" w:hAnsi="仿宋_GB2312" w:eastAsia="仿宋_GB2312" w:cs="仿宋_GB2312"/>
          <w:color w:val="auto"/>
          <w:sz w:val="32"/>
          <w:szCs w:val="32"/>
          <w:highlight w:val="none"/>
        </w:rPr>
        <w:t>疫情防控要求为准。请考生密切关注最新防疫要求，并严格按相关规定执行。</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本人已认真阅读以上《</w:t>
      </w:r>
      <w:r>
        <w:rPr>
          <w:rFonts w:hint="eastAsia" w:ascii="仿宋_GB2312" w:hAnsi="仿宋_GB2312" w:eastAsia="仿宋_GB2312" w:cs="仿宋_GB2312"/>
          <w:b/>
          <w:bCs/>
          <w:color w:val="auto"/>
          <w:sz w:val="32"/>
          <w:szCs w:val="32"/>
          <w:highlight w:val="none"/>
          <w:lang w:val="en-US" w:eastAsia="zh-CN"/>
        </w:rPr>
        <w:t>中共绵阳市游仙区委党校2021年下半年公开选聘专职教师考生新冠肺炎疫情防控告知暨承诺书</w:t>
      </w:r>
      <w:r>
        <w:rPr>
          <w:rFonts w:hint="eastAsia" w:ascii="仿宋_GB2312" w:hAnsi="仿宋_GB2312" w:eastAsia="仿宋_GB2312" w:cs="仿宋_GB2312"/>
          <w:b/>
          <w:bCs/>
          <w:color w:val="auto"/>
          <w:sz w:val="32"/>
          <w:szCs w:val="32"/>
          <w:highlight w:val="none"/>
        </w:rPr>
        <w:t>》，知悉告知事项和防疫要求。在此郑重承诺：本人提交和现场出示的所有信息（证明）均真实、准确、完整、有效，符合疫情防控相关要求，并自愿承担因不实承诺应承担的相关责任，接受相应处理。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承诺人（加盖手印）：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                                 2021年  月  日</w:t>
      </w:r>
    </w:p>
    <w:p>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ind w:right="210" w:rightChars="100" w:firstLine="280" w:firstLineChars="10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ind w:right="210" w:rightChars="100" w:firstLine="280" w:firstLineChars="10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9010B"/>
    <w:rsid w:val="3E2901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Default"/>
    <w:basedOn w:val="1"/>
    <w:qFormat/>
    <w:uiPriority w:val="0"/>
    <w:pPr>
      <w:autoSpaceDE w:val="0"/>
      <w:autoSpaceDN w:val="0"/>
      <w:adjustRightInd w:val="0"/>
      <w:jc w:val="left"/>
    </w:pPr>
    <w:rPr>
      <w:rFonts w:ascii="仿宋_GB2312" w:hAnsi="宋体" w:eastAsia="仿宋_GB2312"/>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2021-12-02T02:47:00Z</dcterms:created>
  <dc:creator>jp</dc:creator>
  <cp:lastModifiedBy>jp</cp:lastModifiedBy>
  <dcterms:modified xsi:type="dcterms:W3CDTF">2021-12-02T02:47:50Z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