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附件１：</w:t>
      </w:r>
      <w:bookmarkStart w:id="0" w:name="_GoBack"/>
      <w:bookmarkEnd w:id="0"/>
    </w:p>
    <w:p>
      <w:pPr>
        <w:spacing w:beforeLines="0" w:afterLines="0" w:line="600" w:lineRule="exact"/>
        <w:ind w:firstLine="5040" w:firstLineChars="1400"/>
        <w:jc w:val="both"/>
        <w:rPr>
          <w:rFonts w:hint="eastAsia" w:ascii="方正小标宋简体" w:hAns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/>
          <w:color w:val="000000"/>
          <w:kern w:val="0"/>
          <w:sz w:val="36"/>
          <w:szCs w:val="36"/>
        </w:rPr>
        <w:t>乐山市卫生健康委员会</w:t>
      </w:r>
    </w:p>
    <w:p>
      <w:pPr>
        <w:spacing w:beforeLines="0" w:afterLines="0" w:line="600" w:lineRule="exact"/>
        <w:ind w:firstLine="720" w:firstLineChars="200"/>
        <w:jc w:val="both"/>
        <w:rPr>
          <w:rFonts w:hint="eastAsia" w:ascii="方正小标宋简体" w:hAns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/>
          <w:color w:val="000000"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/>
          <w:color w:val="000000"/>
          <w:kern w:val="0"/>
          <w:sz w:val="36"/>
          <w:szCs w:val="36"/>
          <w:lang w:eastAsia="zh-CN"/>
        </w:rPr>
        <w:t>下半年</w:t>
      </w:r>
      <w:r>
        <w:rPr>
          <w:rFonts w:hint="eastAsia" w:ascii="方正小标宋简体" w:hAnsi="方正小标宋简体" w:eastAsia="方正小标宋简体"/>
          <w:color w:val="000000"/>
          <w:kern w:val="0"/>
          <w:sz w:val="36"/>
          <w:szCs w:val="36"/>
        </w:rPr>
        <w:t>公开考核招聘直属事业单位工作人员考核招聘岗位和条件一览表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jc w:val="both"/>
        <w:textAlignment w:val="auto"/>
        <w:rPr>
          <w:rFonts w:hint="eastAsia" w:ascii="方正小标宋简体" w:hAnsi="方正小标宋简体" w:eastAsia="方正小标宋简体"/>
          <w:color w:val="000000"/>
          <w:kern w:val="0"/>
          <w:sz w:val="28"/>
          <w:szCs w:val="28"/>
        </w:rPr>
      </w:pPr>
    </w:p>
    <w:tbl>
      <w:tblPr>
        <w:tblStyle w:val="3"/>
        <w:tblpPr w:leftFromText="180" w:rightFromText="180" w:vertAnchor="text" w:horzAnchor="page" w:tblpX="950" w:tblpY="1"/>
        <w:tblOverlap w:val="never"/>
        <w:tblW w:w="143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675"/>
        <w:gridCol w:w="735"/>
        <w:gridCol w:w="945"/>
        <w:gridCol w:w="855"/>
        <w:gridCol w:w="675"/>
        <w:gridCol w:w="645"/>
        <w:gridCol w:w="1365"/>
        <w:gridCol w:w="1275"/>
        <w:gridCol w:w="1860"/>
        <w:gridCol w:w="2843"/>
        <w:gridCol w:w="817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招聘单位名称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招聘范围</w:t>
            </w:r>
          </w:p>
        </w:tc>
        <w:tc>
          <w:tcPr>
            <w:tcW w:w="73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所需资格条件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开考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比例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学历（学位）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其它要求</w:t>
            </w: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kern w:val="2"/>
                <w:sz w:val="18"/>
                <w:lang w:val="en-US" w:eastAsia="zh-CN"/>
              </w:rPr>
              <w:t>乐山市卫生健康委员会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乐山市人民医院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专技岗位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临床医师（技师）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25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  <w:t>全国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  <w:t>19</w:t>
            </w:r>
            <w:r>
              <w:rPr>
                <w:rFonts w:hint="eastAsia" w:ascii="宋体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  <w:t>85</w:t>
            </w: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  <w:t>年</w:t>
            </w:r>
            <w:r>
              <w:rPr>
                <w:rFonts w:hint="eastAsia" w:ascii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  <w:t>月</w:t>
            </w:r>
            <w:r>
              <w:rPr>
                <w:rFonts w:hint="default" w:ascii="宋体" w:cs="Times New Roman"/>
                <w:color w:val="auto"/>
                <w:kern w:val="2"/>
                <w:sz w:val="18"/>
                <w:highlight w:val="none"/>
                <w:lang w:val="en" w:eastAsia="zh-CN"/>
              </w:rPr>
              <w:t>29</w:t>
            </w: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  <w:t>日以后出生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Calibri" w:eastAsia="宋体" w:cs="Times New Roman"/>
                <w:color w:val="auto"/>
                <w:kern w:val="2"/>
                <w:sz w:val="18"/>
                <w:highlight w:val="yellow"/>
                <w:lang w:val="en-US" w:eastAsia="zh-CN"/>
              </w:rPr>
            </w:pPr>
            <w:r>
              <w:rPr>
                <w:rFonts w:hint="default" w:ascii="宋体" w:hAnsi="Calibri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  <w:t>研究生学历并取得硕士及以上学位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eastAsia="宋体" w:cs="Times New Roman"/>
                <w:color w:val="auto"/>
                <w:kern w:val="2"/>
                <w:sz w:val="18"/>
                <w:lang w:val="en-US" w:eastAsia="zh-CN"/>
              </w:rPr>
              <w:t>公共卫生、流行病与卫生统计学、微生物学、临床检验诊断学、内科学、外科学、妇产科学、急诊医学、临床病理学、病理学与病理生理学、儿科学、眼科学、麻醉学</w:t>
            </w:r>
            <w:r>
              <w:rPr>
                <w:rFonts w:hint="eastAsia" w:ascii="宋体" w:cs="Times New Roman"/>
                <w:color w:val="auto"/>
                <w:kern w:val="2"/>
                <w:sz w:val="18"/>
                <w:lang w:val="en-US" w:eastAsia="zh-CN"/>
              </w:rPr>
              <w:t>。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szCs w:val="20"/>
                <w:highlight w:val="none"/>
                <w:lang w:val="en-US" w:eastAsia="zh-CN"/>
              </w:rPr>
              <w:t>1.具有副高级及以上职称的年龄可放宽至1975年</w:t>
            </w:r>
            <w:r>
              <w:rPr>
                <w:rFonts w:hint="default" w:hAnsi="Calibri" w:cs="Times New Roman"/>
                <w:color w:val="auto"/>
                <w:kern w:val="2"/>
                <w:sz w:val="18"/>
                <w:szCs w:val="20"/>
                <w:highlight w:val="none"/>
                <w:lang w:val="en" w:eastAsia="zh-CN"/>
              </w:rPr>
              <w:t>12</w:t>
            </w: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szCs w:val="20"/>
                <w:highlight w:val="none"/>
                <w:lang w:val="en-US" w:eastAsia="zh-CN"/>
              </w:rPr>
              <w:t>月</w:t>
            </w:r>
            <w:r>
              <w:rPr>
                <w:rFonts w:hint="default" w:hAnsi="Calibri" w:cs="Times New Roman"/>
                <w:color w:val="auto"/>
                <w:kern w:val="2"/>
                <w:sz w:val="18"/>
                <w:szCs w:val="20"/>
                <w:highlight w:val="none"/>
                <w:lang w:val="en" w:eastAsia="zh-CN"/>
              </w:rPr>
              <w:t>29</w:t>
            </w: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szCs w:val="20"/>
                <w:highlight w:val="none"/>
                <w:lang w:val="en-US" w:eastAsia="zh-CN"/>
              </w:rPr>
              <w:t>日以后出生</w:t>
            </w:r>
            <w:r>
              <w:rPr>
                <w:rFonts w:hint="eastAsia" w:hAnsi="Calibri" w:cs="Times New Roman"/>
                <w:color w:val="auto"/>
                <w:kern w:val="2"/>
                <w:sz w:val="18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szCs w:val="20"/>
                <w:highlight w:val="none"/>
                <w:lang w:val="en-US" w:eastAsia="zh-CN"/>
              </w:rPr>
              <w:t>2.医师类专业须具有医师资格证</w:t>
            </w:r>
            <w:r>
              <w:rPr>
                <w:rFonts w:hint="eastAsia" w:hAnsi="Calibri" w:cs="Times New Roman"/>
                <w:color w:val="auto"/>
                <w:kern w:val="2"/>
                <w:sz w:val="18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szCs w:val="20"/>
                <w:highlight w:val="none"/>
                <w:lang w:val="en-US" w:eastAsia="zh-CN"/>
              </w:rPr>
              <w:t>3.须于2021年12月31日前完成住院医师规范化培训并取得合格证明（公共卫生、流行病与卫生统计学、微生物学、病理学与病理生理学、临床检验诊断学专业及已取得副高级及以上职称的不作规培要求）</w:t>
            </w:r>
            <w:r>
              <w:rPr>
                <w:rFonts w:hint="eastAsia" w:hAnsi="Calibri" w:cs="Times New Roman"/>
                <w:color w:val="auto"/>
                <w:kern w:val="2"/>
                <w:sz w:val="18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szCs w:val="20"/>
                <w:highlight w:val="none"/>
                <w:lang w:val="en-US" w:eastAsia="zh-CN"/>
              </w:rPr>
              <w:t>4.内科学专业须为感染性疾病、肿瘤内科</w:t>
            </w:r>
            <w:r>
              <w:rPr>
                <w:rFonts w:hint="eastAsia" w:hAnsi="Calibri" w:cs="Times New Roman"/>
                <w:color w:val="auto"/>
                <w:kern w:val="2"/>
                <w:sz w:val="18"/>
                <w:szCs w:val="20"/>
                <w:highlight w:val="none"/>
                <w:lang w:val="en-US" w:eastAsia="zh-CN"/>
              </w:rPr>
              <w:t>、全科</w:t>
            </w: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szCs w:val="20"/>
                <w:highlight w:val="none"/>
                <w:lang w:val="en-US" w:eastAsia="zh-CN"/>
              </w:rPr>
              <w:t>方向</w:t>
            </w:r>
            <w:r>
              <w:rPr>
                <w:rFonts w:hint="eastAsia" w:hAnsi="Calibri" w:cs="Times New Roman"/>
                <w:color w:val="auto"/>
                <w:kern w:val="2"/>
                <w:sz w:val="18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szCs w:val="20"/>
                <w:highlight w:val="none"/>
                <w:lang w:val="en-US" w:eastAsia="zh-CN"/>
              </w:rPr>
              <w:t>5.外科学专业须为胸心外科、心脏大血管外科、泌尿外科、肝胆外科方向</w:t>
            </w:r>
            <w:r>
              <w:rPr>
                <w:rFonts w:hint="eastAsia" w:hAnsi="Calibri" w:cs="Times New Roman"/>
                <w:color w:val="auto"/>
                <w:kern w:val="2"/>
                <w:sz w:val="18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szCs w:val="20"/>
                <w:highlight w:val="none"/>
                <w:lang w:val="en-US" w:eastAsia="zh-CN"/>
              </w:rPr>
              <w:t>6.妇产科学、外科学（胸心外科方向）专业须持有相应专业副高级及以上职称</w:t>
            </w:r>
            <w:r>
              <w:rPr>
                <w:rFonts w:hint="eastAsia" w:hAnsi="Calibri" w:cs="Times New Roman"/>
                <w:color w:val="auto"/>
                <w:kern w:val="2"/>
                <w:sz w:val="18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szCs w:val="20"/>
                <w:highlight w:val="none"/>
                <w:lang w:val="en-US" w:eastAsia="zh-CN"/>
              </w:rPr>
              <w:t>7.从事感染性疾病专业、急诊专业且具有本专业副高级及以上职称的人员学历可放宽到本科，</w:t>
            </w:r>
            <w:r>
              <w:rPr>
                <w:rFonts w:hint="eastAsia" w:hAnsi="Calibri" w:cs="Times New Roman"/>
                <w:color w:val="auto"/>
                <w:kern w:val="2"/>
                <w:sz w:val="18"/>
                <w:szCs w:val="20"/>
                <w:highlight w:val="none"/>
                <w:lang w:val="en-US" w:eastAsia="zh-CN"/>
              </w:rPr>
              <w:t>本科</w:t>
            </w: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szCs w:val="20"/>
                <w:highlight w:val="none"/>
                <w:lang w:val="en-US" w:eastAsia="zh-CN"/>
              </w:rPr>
              <w:t>专业</w:t>
            </w:r>
            <w:r>
              <w:rPr>
                <w:rFonts w:hint="eastAsia" w:hAnsi="Calibri" w:cs="Times New Roman"/>
                <w:color w:val="auto"/>
                <w:kern w:val="2"/>
                <w:sz w:val="18"/>
                <w:szCs w:val="20"/>
                <w:highlight w:val="none"/>
                <w:lang w:val="en-US" w:eastAsia="zh-CN"/>
              </w:rPr>
              <w:t>须为</w:t>
            </w: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szCs w:val="20"/>
                <w:highlight w:val="none"/>
                <w:lang w:val="en-US" w:eastAsia="zh-CN"/>
              </w:rPr>
              <w:t>临床医学。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szCs w:val="20"/>
                <w:lang w:val="en-US" w:eastAsia="zh-CN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形成差额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Times New Roman"/>
                <w:color w:val="000000"/>
                <w:kern w:val="2"/>
                <w:sz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2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kern w:val="2"/>
                <w:sz w:val="18"/>
                <w:lang w:val="en-US" w:eastAsia="zh-CN"/>
              </w:rPr>
              <w:t>乐山</w:t>
            </w: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市卫</w:t>
            </w:r>
            <w:r>
              <w:rPr>
                <w:rFonts w:hint="eastAsia" w:ascii="宋体" w:eastAsia="宋体" w:cs="Times New Roman"/>
                <w:color w:val="auto"/>
                <w:kern w:val="2"/>
                <w:sz w:val="18"/>
                <w:lang w:val="en-US" w:eastAsia="zh-CN"/>
              </w:rPr>
              <w:t>生健康</w:t>
            </w: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委</w:t>
            </w:r>
            <w:r>
              <w:rPr>
                <w:rFonts w:hint="eastAsia" w:ascii="宋体" w:cs="Times New Roman"/>
                <w:color w:val="auto"/>
                <w:kern w:val="2"/>
                <w:sz w:val="18"/>
                <w:lang w:val="en-US" w:eastAsia="zh-CN"/>
              </w:rPr>
              <w:t>员会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乐山市中医医院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专技岗位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中医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13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全国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  <w:t>19</w:t>
            </w:r>
            <w:r>
              <w:rPr>
                <w:rFonts w:hint="eastAsia" w:ascii="宋体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  <w:t>85</w:t>
            </w: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  <w:t>年</w:t>
            </w:r>
            <w:r>
              <w:rPr>
                <w:rFonts w:hint="eastAsia" w:ascii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  <w:t>月</w:t>
            </w:r>
            <w:r>
              <w:rPr>
                <w:rFonts w:hint="default" w:ascii="宋体" w:cs="Times New Roman"/>
                <w:color w:val="auto"/>
                <w:kern w:val="2"/>
                <w:sz w:val="18"/>
                <w:highlight w:val="none"/>
                <w:lang w:val="en" w:eastAsia="zh-CN"/>
              </w:rPr>
              <w:t>29</w:t>
            </w: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  <w:t>日以后出生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yellow"/>
                <w:lang w:val="en-US" w:eastAsia="zh-CN"/>
              </w:rPr>
            </w:pPr>
            <w:r>
              <w:rPr>
                <w:rFonts w:hint="default" w:ascii="宋体" w:hAnsi="Calibri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  <w:t>研究生学历并取得硕士及以上学位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研究生：中西医结合临床、中医内科学、中医外科学。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执业范围为中西医结合</w:t>
            </w:r>
            <w:r>
              <w:rPr>
                <w:rFonts w:hint="eastAsia" w:ascii="宋体" w:cs="Times New Roman"/>
                <w:color w:val="auto"/>
                <w:kern w:val="2"/>
                <w:sz w:val="18"/>
                <w:lang w:val="en-US" w:eastAsia="zh-CN"/>
              </w:rPr>
              <w:t>或</w:t>
            </w: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中医专业</w:t>
            </w:r>
            <w:r>
              <w:rPr>
                <w:rFonts w:hint="eastAsia" w:ascii="宋体" w:cs="Times New Roman"/>
                <w:color w:val="auto"/>
                <w:kern w:val="2"/>
                <w:sz w:val="1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kern w:val="2"/>
                <w:sz w:val="18"/>
                <w:lang w:val="en-US" w:eastAsia="zh-CN"/>
              </w:rPr>
              <w:t>须</w:t>
            </w: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取得中级及以上职称</w:t>
            </w:r>
            <w:r>
              <w:rPr>
                <w:rFonts w:hint="eastAsia" w:ascii="宋体" w:cs="Times New Roman"/>
                <w:color w:val="auto"/>
                <w:kern w:val="2"/>
                <w:sz w:val="1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kern w:val="2"/>
                <w:sz w:val="18"/>
                <w:lang w:val="en-US" w:eastAsia="zh-CN"/>
              </w:rPr>
              <w:t>须</w:t>
            </w: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近3年在三级甲等医院</w:t>
            </w:r>
            <w:r>
              <w:rPr>
                <w:rFonts w:hint="eastAsia" w:ascii="宋体" w:cs="Times New Roman"/>
                <w:color w:val="auto"/>
                <w:kern w:val="2"/>
                <w:sz w:val="18"/>
                <w:lang w:val="en-US" w:eastAsia="zh-CN"/>
              </w:rPr>
              <w:t>医疗机构工作</w:t>
            </w: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（提供养老保险清单）</w:t>
            </w:r>
            <w:r>
              <w:rPr>
                <w:rFonts w:hint="eastAsia" w:ascii="宋体" w:cs="Times New Roman"/>
                <w:color w:val="auto"/>
                <w:kern w:val="2"/>
                <w:sz w:val="18"/>
                <w:lang w:val="en-US" w:eastAsia="zh-CN"/>
              </w:rPr>
              <w:t>。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形成差额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乐山市妇幼保健院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专技岗位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内科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全国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  <w:t>197</w:t>
            </w:r>
            <w:r>
              <w:rPr>
                <w:rFonts w:hint="eastAsia" w:ascii="宋体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  <w:t>年</w:t>
            </w:r>
            <w:r>
              <w:rPr>
                <w:rFonts w:hint="eastAsia" w:ascii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  <w:t>月</w:t>
            </w:r>
            <w:r>
              <w:rPr>
                <w:rFonts w:hint="default" w:ascii="宋体" w:cs="Times New Roman"/>
                <w:color w:val="auto"/>
                <w:kern w:val="2"/>
                <w:sz w:val="18"/>
                <w:highlight w:val="none"/>
                <w:lang w:val="en" w:eastAsia="zh-CN"/>
              </w:rPr>
              <w:t>29</w:t>
            </w: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  <w:t>日以后出生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  <w:t>本科及以上</w:t>
            </w:r>
            <w:r>
              <w:rPr>
                <w:rFonts w:hint="eastAsia" w:ascii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  <w:t>学历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本科：临床医学；                   研究生：内科学。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具有执业医师资格证，执业范围为内科专业，</w:t>
            </w: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shd w:val="clear" w:color="auto" w:fill="auto"/>
                <w:lang w:val="en-US" w:eastAsia="zh-CN"/>
              </w:rPr>
              <w:t>并具有</w:t>
            </w:r>
            <w:r>
              <w:rPr>
                <w:rFonts w:hint="eastAsia" w:ascii="宋体" w:cs="Times New Roman"/>
                <w:color w:val="auto"/>
                <w:kern w:val="2"/>
                <w:sz w:val="18"/>
                <w:highlight w:val="none"/>
                <w:shd w:val="clear" w:color="auto" w:fill="auto"/>
                <w:lang w:val="en-US" w:eastAsia="zh-CN"/>
              </w:rPr>
              <w:t>本专业</w:t>
            </w: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shd w:val="clear" w:color="auto" w:fill="auto"/>
                <w:lang w:val="en-US" w:eastAsia="zh-CN"/>
              </w:rPr>
              <w:t>副</w:t>
            </w:r>
            <w:r>
              <w:rPr>
                <w:rFonts w:hint="eastAsia" w:ascii="宋体" w:cs="Times New Roman"/>
                <w:color w:val="auto"/>
                <w:kern w:val="2"/>
                <w:sz w:val="18"/>
                <w:highlight w:val="none"/>
                <w:shd w:val="clear" w:color="auto" w:fill="auto"/>
                <w:lang w:val="en-US" w:eastAsia="zh-CN"/>
              </w:rPr>
              <w:t>高级</w:t>
            </w: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shd w:val="clear" w:color="auto" w:fill="auto"/>
                <w:lang w:val="en-US" w:eastAsia="zh-CN"/>
              </w:rPr>
              <w:t>及以上职称。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1：2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专技岗位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妇产科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全国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  <w:t>197</w:t>
            </w:r>
            <w:r>
              <w:rPr>
                <w:rFonts w:hint="eastAsia" w:ascii="宋体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  <w:t>年</w:t>
            </w:r>
            <w:r>
              <w:rPr>
                <w:rFonts w:hint="eastAsia" w:ascii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  <w:t>月</w:t>
            </w:r>
            <w:r>
              <w:rPr>
                <w:rFonts w:hint="default" w:ascii="宋体" w:cs="Times New Roman"/>
                <w:color w:val="auto"/>
                <w:kern w:val="2"/>
                <w:sz w:val="18"/>
                <w:highlight w:val="none"/>
                <w:lang w:val="en" w:eastAsia="zh-CN"/>
              </w:rPr>
              <w:t>29</w:t>
            </w: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  <w:t>日以后出生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  <w:t>本科及以上</w:t>
            </w:r>
            <w:r>
              <w:rPr>
                <w:rFonts w:hint="eastAsia" w:ascii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  <w:t>学历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本科：临床医学；                 研究生：妇产科学。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具有执业医师资</w:t>
            </w: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shd w:val="clear" w:color="auto" w:fill="auto"/>
                <w:lang w:val="en-US" w:eastAsia="zh-CN"/>
              </w:rPr>
              <w:t>格证，执业范围为妇产科专业，并具有</w:t>
            </w:r>
            <w:r>
              <w:rPr>
                <w:rFonts w:hint="eastAsia" w:ascii="宋体" w:cs="Times New Roman"/>
                <w:color w:val="auto"/>
                <w:kern w:val="2"/>
                <w:sz w:val="18"/>
                <w:highlight w:val="none"/>
                <w:shd w:val="clear" w:color="auto" w:fill="auto"/>
                <w:lang w:val="en-US" w:eastAsia="zh-CN"/>
              </w:rPr>
              <w:t>本专业</w:t>
            </w: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shd w:val="clear" w:color="auto" w:fill="auto"/>
                <w:lang w:val="en-US" w:eastAsia="zh-CN"/>
              </w:rPr>
              <w:t>副</w:t>
            </w:r>
            <w:r>
              <w:rPr>
                <w:rFonts w:hint="eastAsia" w:ascii="宋体" w:cs="Times New Roman"/>
                <w:color w:val="auto"/>
                <w:kern w:val="2"/>
                <w:sz w:val="18"/>
                <w:highlight w:val="none"/>
                <w:shd w:val="clear" w:color="auto" w:fill="auto"/>
                <w:lang w:val="en-US" w:eastAsia="zh-CN"/>
              </w:rPr>
              <w:t>高级</w:t>
            </w: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shd w:val="clear" w:color="auto" w:fill="auto"/>
                <w:lang w:val="en-US" w:eastAsia="zh-CN"/>
              </w:rPr>
              <w:t>及以上职称。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1：2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kern w:val="2"/>
                <w:sz w:val="18"/>
                <w:lang w:val="en-US" w:eastAsia="zh-CN"/>
              </w:rPr>
              <w:t>4</w:t>
            </w: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乐山市精神卫生中心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专技岗位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临床医学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全国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Calibri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  <w:t>19</w:t>
            </w:r>
            <w:r>
              <w:rPr>
                <w:rFonts w:hint="eastAsia" w:ascii="宋体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  <w:t>85</w:t>
            </w: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  <w:t>年</w:t>
            </w:r>
            <w:r>
              <w:rPr>
                <w:rFonts w:hint="eastAsia" w:ascii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  <w:t>月</w:t>
            </w:r>
            <w:r>
              <w:rPr>
                <w:rFonts w:hint="default" w:ascii="宋体" w:cs="Times New Roman"/>
                <w:color w:val="auto"/>
                <w:kern w:val="2"/>
                <w:sz w:val="18"/>
                <w:highlight w:val="none"/>
                <w:lang w:val="en" w:eastAsia="zh-CN"/>
              </w:rPr>
              <w:t>29</w:t>
            </w: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  <w:t>日以后出生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普通高等教育全日制普通班大学本科及以上</w:t>
            </w:r>
            <w:r>
              <w:rPr>
                <w:rFonts w:hint="eastAsia" w:ascii="宋体" w:cs="Times New Roman"/>
                <w:color w:val="auto"/>
                <w:kern w:val="2"/>
                <w:sz w:val="18"/>
                <w:lang w:val="en-US" w:eastAsia="zh-CN"/>
              </w:rPr>
              <w:t>学历</w:t>
            </w: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并取得相应学位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本科：精神医学、临床医学；                         研究生：内科学、精神病与精神卫生学、老年医学、影像医学与核医学。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已取得执业医师资格且执业注册范围为精神卫生专业或内科专业</w:t>
            </w: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shd w:val="clear"/>
                <w:lang w:val="en-US" w:eastAsia="zh-CN"/>
              </w:rPr>
              <w:t>的</w:t>
            </w: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shd w:val="clear"/>
                <w:lang w:val="en-US" w:eastAsia="zh-CN"/>
              </w:rPr>
              <w:t>，学历可放宽为大专，专业放宽为医学类专业。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1：2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6838" w:h="11906" w:orient="landscape"/>
      <w:pgMar w:top="839" w:right="1440" w:bottom="89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FE03A4"/>
    <w:multiLevelType w:val="singleLevel"/>
    <w:tmpl w:val="AFFE03A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B2266"/>
    <w:rsid w:val="04CE7D7C"/>
    <w:rsid w:val="08114DA9"/>
    <w:rsid w:val="0DFB5808"/>
    <w:rsid w:val="106057CD"/>
    <w:rsid w:val="11D9E01E"/>
    <w:rsid w:val="17FD86C3"/>
    <w:rsid w:val="1AEF44BE"/>
    <w:rsid w:val="1AF68B08"/>
    <w:rsid w:val="1EA4375E"/>
    <w:rsid w:val="1FE9D1FF"/>
    <w:rsid w:val="24FF41A4"/>
    <w:rsid w:val="26030F86"/>
    <w:rsid w:val="277E9C78"/>
    <w:rsid w:val="2DF96B4E"/>
    <w:rsid w:val="2EBB3E62"/>
    <w:rsid w:val="2FA3D660"/>
    <w:rsid w:val="2FBF4764"/>
    <w:rsid w:val="37FB667D"/>
    <w:rsid w:val="3BEB3915"/>
    <w:rsid w:val="3BFFE432"/>
    <w:rsid w:val="3C513419"/>
    <w:rsid w:val="3E5F79D2"/>
    <w:rsid w:val="3E7B283B"/>
    <w:rsid w:val="3EB34181"/>
    <w:rsid w:val="3EF74BD1"/>
    <w:rsid w:val="3EFF5402"/>
    <w:rsid w:val="3F72D165"/>
    <w:rsid w:val="3FBF3C09"/>
    <w:rsid w:val="3FD3B54A"/>
    <w:rsid w:val="41246AD4"/>
    <w:rsid w:val="47F6A681"/>
    <w:rsid w:val="47FE5BF2"/>
    <w:rsid w:val="49AF96E4"/>
    <w:rsid w:val="4AB3C5EE"/>
    <w:rsid w:val="4C631ACE"/>
    <w:rsid w:val="4CB2413C"/>
    <w:rsid w:val="4D924351"/>
    <w:rsid w:val="4EE83B07"/>
    <w:rsid w:val="4F9F40AB"/>
    <w:rsid w:val="53CA20C4"/>
    <w:rsid w:val="5A595280"/>
    <w:rsid w:val="5BAD3732"/>
    <w:rsid w:val="5BBB3DB4"/>
    <w:rsid w:val="5FB99C35"/>
    <w:rsid w:val="5FF7D29E"/>
    <w:rsid w:val="5FFDDC4A"/>
    <w:rsid w:val="66E96BA1"/>
    <w:rsid w:val="69F6355C"/>
    <w:rsid w:val="6BEE1FA6"/>
    <w:rsid w:val="6C57EE52"/>
    <w:rsid w:val="6ECF4673"/>
    <w:rsid w:val="6F4FA7E2"/>
    <w:rsid w:val="6FEF780A"/>
    <w:rsid w:val="6FFF2754"/>
    <w:rsid w:val="737DAAC2"/>
    <w:rsid w:val="73A5296F"/>
    <w:rsid w:val="73FFC5B4"/>
    <w:rsid w:val="73FFF789"/>
    <w:rsid w:val="7677D1D5"/>
    <w:rsid w:val="76FF80B7"/>
    <w:rsid w:val="7977081E"/>
    <w:rsid w:val="79D95AFD"/>
    <w:rsid w:val="7B958C06"/>
    <w:rsid w:val="7BBB5D2B"/>
    <w:rsid w:val="7BFE3DA1"/>
    <w:rsid w:val="7C2D6FB5"/>
    <w:rsid w:val="7CCF415F"/>
    <w:rsid w:val="7CF872AB"/>
    <w:rsid w:val="7D89234D"/>
    <w:rsid w:val="7DBFEA57"/>
    <w:rsid w:val="7DFD2C18"/>
    <w:rsid w:val="7DFF4A7D"/>
    <w:rsid w:val="7E232D78"/>
    <w:rsid w:val="7E4DDBF5"/>
    <w:rsid w:val="7E7A4F26"/>
    <w:rsid w:val="7E7AE676"/>
    <w:rsid w:val="7E975CBB"/>
    <w:rsid w:val="7EBF74CB"/>
    <w:rsid w:val="7EFF1F77"/>
    <w:rsid w:val="7EFFB910"/>
    <w:rsid w:val="7EFFE0D4"/>
    <w:rsid w:val="7F6F44CF"/>
    <w:rsid w:val="7F77A178"/>
    <w:rsid w:val="7FDE18BB"/>
    <w:rsid w:val="7FFBA11D"/>
    <w:rsid w:val="7FFD77D3"/>
    <w:rsid w:val="7FFE4172"/>
    <w:rsid w:val="7FFF7F2C"/>
    <w:rsid w:val="8FD724DB"/>
    <w:rsid w:val="9FAE5B92"/>
    <w:rsid w:val="A3FFB161"/>
    <w:rsid w:val="ABFF90F8"/>
    <w:rsid w:val="AC7FAFA1"/>
    <w:rsid w:val="AFE7EEED"/>
    <w:rsid w:val="B6BF7328"/>
    <w:rsid w:val="B7FDDE82"/>
    <w:rsid w:val="B94F9D66"/>
    <w:rsid w:val="B95672EC"/>
    <w:rsid w:val="B9F69552"/>
    <w:rsid w:val="BBDFBDE1"/>
    <w:rsid w:val="BCFE87AB"/>
    <w:rsid w:val="BDEE1B74"/>
    <w:rsid w:val="BDFFE4CC"/>
    <w:rsid w:val="BF7B31E1"/>
    <w:rsid w:val="BFDFD6EF"/>
    <w:rsid w:val="CDF16743"/>
    <w:rsid w:val="CFFF492B"/>
    <w:rsid w:val="D2734FFF"/>
    <w:rsid w:val="D3BFDD9A"/>
    <w:rsid w:val="D7DEBAB5"/>
    <w:rsid w:val="D7EF9F53"/>
    <w:rsid w:val="D82FE7ED"/>
    <w:rsid w:val="DB3750B6"/>
    <w:rsid w:val="DBF778A5"/>
    <w:rsid w:val="DDFC894B"/>
    <w:rsid w:val="DDFE263F"/>
    <w:rsid w:val="DEB98466"/>
    <w:rsid w:val="DFDE8560"/>
    <w:rsid w:val="DFEDC7AD"/>
    <w:rsid w:val="DFFD45DC"/>
    <w:rsid w:val="DFFE5AFE"/>
    <w:rsid w:val="E34DFB25"/>
    <w:rsid w:val="E8BB1A4D"/>
    <w:rsid w:val="EAFDF830"/>
    <w:rsid w:val="EB79A527"/>
    <w:rsid w:val="EBBED4E1"/>
    <w:rsid w:val="EBFF6A6B"/>
    <w:rsid w:val="ED7BA6A3"/>
    <w:rsid w:val="EE5E8B45"/>
    <w:rsid w:val="EE7E1DB9"/>
    <w:rsid w:val="EEDA9792"/>
    <w:rsid w:val="EF9FCE3F"/>
    <w:rsid w:val="EFA6DC08"/>
    <w:rsid w:val="EFFE8ADA"/>
    <w:rsid w:val="F0FB3561"/>
    <w:rsid w:val="F3FF46C7"/>
    <w:rsid w:val="F5FEC6BA"/>
    <w:rsid w:val="F666E4E6"/>
    <w:rsid w:val="F7AFF2FB"/>
    <w:rsid w:val="F7EDB581"/>
    <w:rsid w:val="F7F7C5BD"/>
    <w:rsid w:val="F7FFC47D"/>
    <w:rsid w:val="F966FD0B"/>
    <w:rsid w:val="F97F24B6"/>
    <w:rsid w:val="F9F7BE83"/>
    <w:rsid w:val="FAEF0278"/>
    <w:rsid w:val="FB6D3037"/>
    <w:rsid w:val="FB7EFCD6"/>
    <w:rsid w:val="FBCF4380"/>
    <w:rsid w:val="FCDF8533"/>
    <w:rsid w:val="FDF75B0A"/>
    <w:rsid w:val="FDFD5476"/>
    <w:rsid w:val="FE7D0FB5"/>
    <w:rsid w:val="FE91E54A"/>
    <w:rsid w:val="FEBC0A77"/>
    <w:rsid w:val="FEBF6BE8"/>
    <w:rsid w:val="FEF5EB39"/>
    <w:rsid w:val="FEFE3268"/>
    <w:rsid w:val="FEFF1B23"/>
    <w:rsid w:val="FF7781B6"/>
    <w:rsid w:val="FFA48007"/>
    <w:rsid w:val="FFBD8986"/>
    <w:rsid w:val="FFBF8438"/>
    <w:rsid w:val="FFDBE394"/>
    <w:rsid w:val="FFDF02C5"/>
    <w:rsid w:val="FFDF7A77"/>
    <w:rsid w:val="FFF79ED5"/>
    <w:rsid w:val="FFF96BDD"/>
    <w:rsid w:val="FFFF116C"/>
    <w:rsid w:val="FF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2020-12-05T01:14:00Z</dcterms:created>
  <dc:creator>96123</dc:creator>
  <cp:lastModifiedBy>季明霞</cp:lastModifiedBy>
  <cp:lastPrinted>2021-12-17T07:28:00Z</cp:lastPrinted>
  <dcterms:modified xsi:type="dcterms:W3CDTF">2021-12-20T09:11:25Z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