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441" w:leftChars="304" w:right="0" w:hanging="803" w:hangingChars="200"/>
        <w:jc w:val="center"/>
        <w:textAlignment w:val="auto"/>
        <w:rPr>
          <w:rFonts w:hint="eastAsia" w:ascii="FangSong_GB2312" w:hAnsi="FangSong_GB2312" w:eastAsia="FangSong_GB2312" w:cs="FangSong_GB2312"/>
          <w:b/>
          <w:bCs/>
          <w:i w:val="0"/>
          <w:iCs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  <w:lang w:val="en-US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iCs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  <w:lang w:val="en-US" w:eastAsia="zh-CN"/>
        </w:rPr>
        <w:t>峨眉发展2022年</w:t>
      </w:r>
      <w:r>
        <w:rPr>
          <w:rFonts w:hint="eastAsia" w:ascii="FangSong_GB2312" w:hAnsi="FangSong_GB2312" w:eastAsia="FangSong_GB2312" w:cs="FangSong_GB2312"/>
          <w:b/>
          <w:bCs/>
          <w:i w:val="0"/>
          <w:iCs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</w:rPr>
        <w:t>公开招聘岗位一览表</w:t>
      </w:r>
    </w:p>
    <w:p>
      <w:pPr>
        <w:pStyle w:val="3"/>
        <w:rPr>
          <w:rFonts w:hint="eastAsia"/>
          <w:highlight w:val="none"/>
          <w:lang w:val="en-US" w:eastAsia="zh-CN"/>
        </w:rPr>
      </w:pPr>
    </w:p>
    <w:tbl>
      <w:tblPr>
        <w:tblStyle w:val="6"/>
        <w:tblW w:w="13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90"/>
        <w:gridCol w:w="990"/>
        <w:gridCol w:w="750"/>
        <w:gridCol w:w="1395"/>
        <w:gridCol w:w="1230"/>
        <w:gridCol w:w="1485"/>
        <w:gridCol w:w="3150"/>
        <w:gridCol w:w="1575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岗位</w:t>
            </w:r>
          </w:p>
          <w:p>
            <w:pPr>
              <w:bidi w:val="0"/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工资总额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项目管理中心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EMFZ001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金融、经济、财务类、审计相关专业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198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7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1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日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及以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Style w:val="9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具有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两</w:t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及</w:t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以上银行公司信贷业务、证券、投行等相关金融类企业</w:t>
            </w: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或国有企业融资、财务管理</w:t>
            </w:r>
            <w:r>
              <w:rPr>
                <w:rStyle w:val="9"/>
                <w:color w:val="auto"/>
                <w:highlight w:val="none"/>
                <w:lang w:val="en-US" w:eastAsia="zh-CN" w:bidi="ar"/>
              </w:rPr>
              <w:t>的工作经历。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9-11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财务管理中心统计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EMFZ002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财会、统计、审计相关专业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岁及以下（1987年1月1日及以后出生）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1.具有初级及以上会计专业技术职称；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以上财务相关工作经验，熟练使用Excel软件。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9-11万元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468" w:right="2041" w:bottom="1468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b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2022-03-08T03:31:21Z</dcterms:created>
  <dc:creator>Administrator</dc:creator>
  <cp:lastModifiedBy>Administrator</cp:lastModifiedBy>
  <dcterms:modified xsi:type="dcterms:W3CDTF">2022-03-08T03:31:44Z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