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right="840" w:rightChars="400"/>
        <w:rPr>
          <w:rFonts w:hint="eastAsia" w:ascii="仿宋" w:hAnsi="仿宋" w:eastAsia="仿宋"/>
          <w:color w:val="000000"/>
          <w:sz w:val="32"/>
          <w:szCs w:val="32"/>
          <w:lang w:val="en-US" w:eastAsia="zh-CN"/>
        </w:rPr>
      </w:pP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1</w:t>
      </w:r>
    </w:p>
    <w:p>
      <w:pPr>
        <w:spacing w:line="400" w:lineRule="exact"/>
        <w:jc w:val="left"/>
        <w:rPr>
          <w:rFonts w:hint="eastAsia" w:ascii="方正小标宋简体" w:eastAsia="方正小标宋简体"/>
          <w:bCs/>
          <w:color w:val="000000"/>
          <w:kern w:val="0"/>
          <w:sz w:val="24"/>
          <w:szCs w:val="36"/>
        </w:rPr>
      </w:pPr>
    </w:p>
    <w:p>
      <w:pPr>
        <w:spacing w:line="400" w:lineRule="exact"/>
        <w:jc w:val="center"/>
        <w:rPr>
          <w:rFonts w:eastAsia="方正小标宋简体"/>
          <w:bCs/>
          <w:color w:val="000000"/>
          <w:kern w:val="0"/>
          <w:sz w:val="36"/>
          <w:szCs w:val="36"/>
        </w:rPr>
      </w:pPr>
      <w:r>
        <w:rPr>
          <w:rFonts w:hint="eastAsia" w:ascii="方正小标宋简体" w:eastAsia="方正小标宋简体"/>
          <w:bCs/>
          <w:color w:val="000000"/>
          <w:kern w:val="0"/>
          <w:sz w:val="36"/>
          <w:szCs w:val="36"/>
        </w:rPr>
        <w:t>“嘉陵江英才工程”</w:t>
      </w:r>
      <w:r>
        <w:rPr>
          <w:rFonts w:eastAsia="方正小标宋简体"/>
          <w:bCs/>
          <w:color w:val="000000"/>
          <w:kern w:val="0"/>
          <w:sz w:val="36"/>
          <w:szCs w:val="36"/>
          <w:lang w:bidi="zh-CN"/>
        </w:rPr>
        <w:t>2022</w:t>
      </w:r>
      <w:r>
        <w:rPr>
          <w:rFonts w:eastAsia="方正小标宋简体"/>
          <w:bCs/>
          <w:color w:val="000000"/>
          <w:kern w:val="0"/>
          <w:sz w:val="36"/>
          <w:szCs w:val="36"/>
        </w:rPr>
        <w:t>年度引才需求信息表</w:t>
      </w:r>
    </w:p>
    <w:tbl>
      <w:tblPr>
        <w:tblStyle w:val="4"/>
        <w:tblpPr w:leftFromText="180" w:rightFromText="180" w:vertAnchor="text" w:horzAnchor="page" w:tblpXSpec="center" w:tblpY="162"/>
        <w:tblOverlap w:val="never"/>
        <w:tblW w:w="15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087"/>
        <w:gridCol w:w="890"/>
        <w:gridCol w:w="1701"/>
        <w:gridCol w:w="1417"/>
        <w:gridCol w:w="2601"/>
        <w:gridCol w:w="722"/>
        <w:gridCol w:w="1298"/>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8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名称</w:t>
            </w:r>
          </w:p>
        </w:tc>
        <w:tc>
          <w:tcPr>
            <w:tcW w:w="3363"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南充卫生学校</w:t>
            </w:r>
          </w:p>
        </w:tc>
        <w:tc>
          <w:tcPr>
            <w:tcW w:w="890"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类别</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事业单位</w:t>
            </w:r>
          </w:p>
        </w:tc>
        <w:tc>
          <w:tcPr>
            <w:tcW w:w="14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网址</w:t>
            </w:r>
          </w:p>
        </w:tc>
        <w:tc>
          <w:tcPr>
            <w:tcW w:w="2601" w:type="dxa"/>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kern w:val="0"/>
                <w:sz w:val="24"/>
              </w:rPr>
              <w:t>http://www.ncwxfy.com/</w:t>
            </w:r>
          </w:p>
        </w:tc>
        <w:tc>
          <w:tcPr>
            <w:tcW w:w="722"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邮政</w:t>
            </w:r>
            <w:r>
              <w:rPr>
                <w:rFonts w:eastAsia="方正黑体简体"/>
                <w:bCs/>
                <w:color w:val="000000"/>
                <w:kern w:val="0"/>
                <w:sz w:val="24"/>
              </w:rPr>
              <w:br w:type="textWrapping"/>
            </w:r>
            <w:r>
              <w:rPr>
                <w:rFonts w:eastAsia="方正黑体简体"/>
                <w:bCs/>
                <w:color w:val="000000"/>
                <w:kern w:val="0"/>
                <w:sz w:val="24"/>
              </w:rPr>
              <w:t>编码</w:t>
            </w:r>
          </w:p>
        </w:tc>
        <w:tc>
          <w:tcPr>
            <w:tcW w:w="3751"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637000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联系</w:t>
            </w:r>
          </w:p>
          <w:p>
            <w:pPr>
              <w:widowControl/>
              <w:spacing w:line="280" w:lineRule="exact"/>
              <w:jc w:val="center"/>
              <w:rPr>
                <w:rFonts w:eastAsia="方正黑体简体"/>
                <w:bCs/>
                <w:color w:val="000000"/>
                <w:kern w:val="0"/>
                <w:sz w:val="24"/>
              </w:rPr>
            </w:pPr>
            <w:r>
              <w:rPr>
                <w:rFonts w:eastAsia="方正黑体简体"/>
                <w:bCs/>
                <w:color w:val="000000"/>
                <w:kern w:val="0"/>
                <w:sz w:val="24"/>
              </w:rPr>
              <w:t>人</w:t>
            </w:r>
          </w:p>
        </w:tc>
        <w:tc>
          <w:tcPr>
            <w:tcW w:w="3363"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王</w:t>
            </w:r>
            <w:r>
              <w:rPr>
                <w:rFonts w:hint="eastAsia" w:eastAsia="方正仿宋简体"/>
                <w:bCs/>
                <w:color w:val="000000"/>
                <w:kern w:val="0"/>
                <w:sz w:val="24"/>
              </w:rPr>
              <w:t xml:space="preserve">  </w:t>
            </w:r>
            <w:r>
              <w:rPr>
                <w:rFonts w:eastAsia="方正仿宋简体"/>
                <w:bCs/>
                <w:color w:val="000000"/>
                <w:kern w:val="0"/>
                <w:sz w:val="24"/>
              </w:rPr>
              <w:t>婵</w:t>
            </w:r>
          </w:p>
        </w:tc>
        <w:tc>
          <w:tcPr>
            <w:tcW w:w="890"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联系</w:t>
            </w:r>
          </w:p>
          <w:p>
            <w:pPr>
              <w:widowControl/>
              <w:spacing w:line="280" w:lineRule="exact"/>
              <w:jc w:val="center"/>
              <w:rPr>
                <w:rFonts w:eastAsia="方正黑体简体"/>
                <w:bCs/>
                <w:color w:val="000000"/>
                <w:kern w:val="0"/>
                <w:sz w:val="24"/>
              </w:rPr>
            </w:pPr>
            <w:r>
              <w:rPr>
                <w:rFonts w:eastAsia="方正黑体简体"/>
                <w:bCs/>
                <w:color w:val="000000"/>
                <w:kern w:val="0"/>
                <w:sz w:val="24"/>
              </w:rPr>
              <w:t>电话</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0817-2395796</w:t>
            </w:r>
          </w:p>
        </w:tc>
        <w:tc>
          <w:tcPr>
            <w:tcW w:w="14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E-mail</w:t>
            </w:r>
          </w:p>
        </w:tc>
        <w:tc>
          <w:tcPr>
            <w:tcW w:w="2601" w:type="dxa"/>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kern w:val="0"/>
                <w:sz w:val="24"/>
              </w:rPr>
              <w:t>ncwsxx0817@163.com</w:t>
            </w:r>
          </w:p>
        </w:tc>
        <w:tc>
          <w:tcPr>
            <w:tcW w:w="722"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通讯</w:t>
            </w:r>
          </w:p>
          <w:p>
            <w:pPr>
              <w:widowControl/>
              <w:spacing w:line="280" w:lineRule="exact"/>
              <w:jc w:val="center"/>
              <w:rPr>
                <w:rFonts w:eastAsia="方正黑体简体"/>
                <w:bCs/>
                <w:color w:val="000000"/>
                <w:kern w:val="0"/>
                <w:sz w:val="24"/>
              </w:rPr>
            </w:pPr>
            <w:r>
              <w:rPr>
                <w:rFonts w:eastAsia="方正黑体简体"/>
                <w:bCs/>
                <w:color w:val="000000"/>
                <w:kern w:val="0"/>
                <w:sz w:val="24"/>
              </w:rPr>
              <w:t>地址</w:t>
            </w:r>
          </w:p>
        </w:tc>
        <w:tc>
          <w:tcPr>
            <w:tcW w:w="3751" w:type="dxa"/>
            <w:gridSpan w:val="2"/>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kern w:val="0"/>
                <w:sz w:val="24"/>
              </w:rPr>
              <w:t>南充市顺庆区潆溪街道潆康北路107号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exact"/>
          <w:jc w:val="center"/>
        </w:trPr>
        <w:tc>
          <w:tcPr>
            <w:tcW w:w="8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单位</w:t>
            </w:r>
          </w:p>
          <w:p>
            <w:pPr>
              <w:widowControl/>
              <w:spacing w:line="280" w:lineRule="exact"/>
              <w:jc w:val="center"/>
              <w:rPr>
                <w:rFonts w:eastAsia="方正黑体简体"/>
                <w:bCs/>
                <w:color w:val="000000"/>
                <w:kern w:val="0"/>
                <w:sz w:val="24"/>
              </w:rPr>
            </w:pPr>
            <w:r>
              <w:rPr>
                <w:rFonts w:eastAsia="方正黑体简体"/>
                <w:bCs/>
                <w:color w:val="000000"/>
                <w:kern w:val="0"/>
                <w:sz w:val="24"/>
              </w:rPr>
              <w:t>简介</w:t>
            </w:r>
          </w:p>
        </w:tc>
        <w:tc>
          <w:tcPr>
            <w:tcW w:w="14445" w:type="dxa"/>
            <w:gridSpan w:val="9"/>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bCs/>
                <w:color w:val="000000"/>
                <w:kern w:val="0"/>
                <w:sz w:val="24"/>
              </w:rPr>
              <w:t xml:space="preserve">    南充卫生学校始建于1951年，是我市唯一的国家示范学校建设单位。校园占地面积211.5亩，校舍面积9.734万平方米；固定资产上亿元，实验设备总值达3000余万元；建有实验设备齐全的实训基地10个，实训室110间；有一所国家二级综合性附属医院和45个县级以上医院的实习基地。中专开设有护理、医学检验技术、助产、医学影像技术、药剂、农村医学、中医康复保健等8个专业，其中护理和医学检验技术专业为省级重点专业；五年制大专和成人专科开设有临床医学、护理、助产、医学检验技术、药学、医学影像技术、中医等7个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8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序号</w:t>
            </w:r>
          </w:p>
        </w:tc>
        <w:tc>
          <w:tcPr>
            <w:tcW w:w="1276"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引进岗位</w:t>
            </w:r>
          </w:p>
        </w:tc>
        <w:tc>
          <w:tcPr>
            <w:tcW w:w="2977" w:type="dxa"/>
            <w:gridSpan w:val="2"/>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专业</w:t>
            </w:r>
          </w:p>
        </w:tc>
        <w:tc>
          <w:tcPr>
            <w:tcW w:w="1701"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职务职称</w:t>
            </w:r>
          </w:p>
          <w:p>
            <w:pPr>
              <w:widowControl/>
              <w:spacing w:line="280" w:lineRule="exact"/>
              <w:jc w:val="center"/>
              <w:rPr>
                <w:rFonts w:eastAsia="方正黑体简体"/>
                <w:bCs/>
                <w:color w:val="000000"/>
                <w:kern w:val="0"/>
                <w:sz w:val="24"/>
              </w:rPr>
            </w:pPr>
            <w:r>
              <w:rPr>
                <w:rFonts w:eastAsia="方正黑体简体"/>
                <w:bCs/>
                <w:color w:val="000000"/>
                <w:kern w:val="0"/>
                <w:sz w:val="24"/>
              </w:rPr>
              <w:t>要求</w:t>
            </w:r>
          </w:p>
        </w:tc>
        <w:tc>
          <w:tcPr>
            <w:tcW w:w="1417"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学历学位</w:t>
            </w:r>
          </w:p>
          <w:p>
            <w:pPr>
              <w:widowControl/>
              <w:spacing w:line="280" w:lineRule="exact"/>
              <w:jc w:val="center"/>
              <w:rPr>
                <w:rFonts w:eastAsia="方正黑体简体"/>
                <w:bCs/>
                <w:color w:val="000000"/>
                <w:kern w:val="0"/>
                <w:sz w:val="24"/>
              </w:rPr>
            </w:pPr>
            <w:r>
              <w:rPr>
                <w:rFonts w:eastAsia="方正黑体简体"/>
                <w:bCs/>
                <w:color w:val="000000"/>
                <w:kern w:val="0"/>
                <w:sz w:val="24"/>
              </w:rPr>
              <w:t>要求</w:t>
            </w:r>
          </w:p>
        </w:tc>
        <w:tc>
          <w:tcPr>
            <w:tcW w:w="2601"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其他要求</w:t>
            </w:r>
          </w:p>
        </w:tc>
        <w:tc>
          <w:tcPr>
            <w:tcW w:w="722"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需求</w:t>
            </w:r>
            <w:r>
              <w:rPr>
                <w:rFonts w:eastAsia="方正黑体简体"/>
                <w:bCs/>
                <w:color w:val="000000"/>
                <w:kern w:val="0"/>
                <w:sz w:val="24"/>
              </w:rPr>
              <w:br w:type="textWrapping"/>
            </w:r>
            <w:r>
              <w:rPr>
                <w:rFonts w:eastAsia="方正黑体简体"/>
                <w:bCs/>
                <w:color w:val="000000"/>
                <w:kern w:val="0"/>
                <w:sz w:val="24"/>
              </w:rPr>
              <w:t>人数</w:t>
            </w:r>
          </w:p>
        </w:tc>
        <w:tc>
          <w:tcPr>
            <w:tcW w:w="1298"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引进</w:t>
            </w:r>
            <w:r>
              <w:rPr>
                <w:rFonts w:eastAsia="方正黑体简体"/>
                <w:bCs/>
                <w:color w:val="000000"/>
                <w:kern w:val="0"/>
                <w:sz w:val="24"/>
              </w:rPr>
              <w:br w:type="textWrapping"/>
            </w:r>
            <w:r>
              <w:rPr>
                <w:rFonts w:eastAsia="方正黑体简体"/>
                <w:bCs/>
                <w:color w:val="000000"/>
                <w:kern w:val="0"/>
                <w:sz w:val="24"/>
              </w:rPr>
              <w:t>方式</w:t>
            </w:r>
          </w:p>
        </w:tc>
        <w:tc>
          <w:tcPr>
            <w:tcW w:w="2453" w:type="dxa"/>
            <w:noWrap w:val="0"/>
            <w:tcMar>
              <w:top w:w="57" w:type="dxa"/>
              <w:bottom w:w="57" w:type="dxa"/>
            </w:tcMar>
            <w:vAlign w:val="center"/>
          </w:tcPr>
          <w:p>
            <w:pPr>
              <w:widowControl/>
              <w:spacing w:line="280" w:lineRule="exact"/>
              <w:jc w:val="center"/>
              <w:rPr>
                <w:rFonts w:eastAsia="方正黑体简体"/>
                <w:bCs/>
                <w:color w:val="000000"/>
                <w:kern w:val="0"/>
                <w:sz w:val="24"/>
              </w:rPr>
            </w:pPr>
            <w:r>
              <w:rPr>
                <w:rFonts w:eastAsia="方正黑体简体"/>
                <w:bCs/>
                <w:color w:val="000000"/>
                <w:kern w:val="0"/>
                <w:sz w:val="24"/>
              </w:rPr>
              <w:t>提供薪酬、生活待遇</w:t>
            </w:r>
          </w:p>
          <w:p>
            <w:pPr>
              <w:widowControl/>
              <w:spacing w:line="280" w:lineRule="exact"/>
              <w:jc w:val="center"/>
              <w:rPr>
                <w:rFonts w:eastAsia="方正黑体简体"/>
                <w:bCs/>
                <w:color w:val="000000"/>
                <w:kern w:val="0"/>
                <w:sz w:val="24"/>
              </w:rPr>
            </w:pPr>
            <w:r>
              <w:rPr>
                <w:rFonts w:eastAsia="方正黑体简体"/>
                <w:bCs/>
                <w:color w:val="000000"/>
                <w:kern w:val="0"/>
                <w:sz w:val="24"/>
              </w:rPr>
              <w:t>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1</w:t>
            </w:r>
          </w:p>
        </w:tc>
        <w:tc>
          <w:tcPr>
            <w:tcW w:w="1276"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音乐教师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学科教学（音乐）</w:t>
            </w:r>
            <w:r>
              <w:rPr>
                <w:rFonts w:hint="eastAsia" w:eastAsia="方正仿宋简体"/>
                <w:color w:val="000000"/>
                <w:kern w:val="0"/>
                <w:sz w:val="24"/>
              </w:rPr>
              <w:t>、</w:t>
            </w:r>
            <w:r>
              <w:rPr>
                <w:rFonts w:eastAsia="方正仿宋简体"/>
                <w:color w:val="000000"/>
                <w:kern w:val="0"/>
                <w:sz w:val="24"/>
              </w:rPr>
              <w:t>音乐学</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w:t>
            </w:r>
            <w:r>
              <w:rPr>
                <w:rFonts w:eastAsia="方正仿宋简体"/>
                <w:color w:val="000000"/>
                <w:kern w:val="0"/>
                <w:sz w:val="24"/>
              </w:rPr>
              <w:t>具备高级中学教师资格证（音乐）或中职学校教师资格证（音乐）</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2</w:t>
            </w:r>
          </w:p>
        </w:tc>
        <w:tc>
          <w:tcPr>
            <w:tcW w:w="1276"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药剂学教师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药剂学</w:t>
            </w:r>
            <w:r>
              <w:rPr>
                <w:rFonts w:hint="eastAsia" w:eastAsia="方正仿宋简体"/>
                <w:color w:val="000000"/>
                <w:kern w:val="0"/>
                <w:sz w:val="24"/>
              </w:rPr>
              <w:t>、</w:t>
            </w:r>
            <w:r>
              <w:rPr>
                <w:rFonts w:eastAsia="方正仿宋简体"/>
                <w:color w:val="000000"/>
                <w:kern w:val="0"/>
                <w:sz w:val="24"/>
              </w:rPr>
              <w:t>药理学</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color w:val="000000"/>
                <w:kern w:val="0"/>
                <w:sz w:val="24"/>
              </w:rPr>
              <w:t>年龄不超过40周岁</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3</w:t>
            </w:r>
          </w:p>
        </w:tc>
        <w:tc>
          <w:tcPr>
            <w:tcW w:w="1276"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数学教师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学科教学（数学）</w:t>
            </w:r>
            <w:r>
              <w:rPr>
                <w:rFonts w:hint="eastAsia" w:eastAsia="方正仿宋简体"/>
                <w:color w:val="000000"/>
                <w:kern w:val="0"/>
                <w:sz w:val="24"/>
              </w:rPr>
              <w:t>、</w:t>
            </w:r>
            <w:r>
              <w:rPr>
                <w:rFonts w:eastAsia="方正仿宋简体"/>
                <w:color w:val="000000"/>
                <w:kern w:val="0"/>
                <w:sz w:val="24"/>
              </w:rPr>
              <w:t>课程与教学论（数学方向）</w:t>
            </w:r>
            <w:r>
              <w:rPr>
                <w:rFonts w:hint="eastAsia" w:eastAsia="方正仿宋简体"/>
                <w:color w:val="000000"/>
                <w:kern w:val="0"/>
                <w:sz w:val="24"/>
              </w:rPr>
              <w:t>、</w:t>
            </w:r>
            <w:r>
              <w:rPr>
                <w:rFonts w:eastAsia="方正仿宋简体"/>
                <w:color w:val="000000"/>
                <w:kern w:val="0"/>
                <w:sz w:val="24"/>
              </w:rPr>
              <w:t>基础数学</w:t>
            </w:r>
            <w:r>
              <w:rPr>
                <w:rFonts w:hint="eastAsia" w:eastAsia="方正仿宋简体"/>
                <w:color w:val="000000"/>
                <w:kern w:val="0"/>
                <w:sz w:val="24"/>
              </w:rPr>
              <w:t>、</w:t>
            </w:r>
            <w:r>
              <w:rPr>
                <w:rFonts w:eastAsia="方正仿宋简体"/>
                <w:color w:val="000000"/>
                <w:kern w:val="0"/>
                <w:sz w:val="24"/>
              </w:rPr>
              <w:t>计算数学</w:t>
            </w:r>
            <w:r>
              <w:rPr>
                <w:rFonts w:hint="eastAsia" w:eastAsia="方正仿宋简体"/>
                <w:color w:val="000000"/>
                <w:kern w:val="0"/>
                <w:sz w:val="24"/>
              </w:rPr>
              <w:t>、</w:t>
            </w:r>
            <w:r>
              <w:rPr>
                <w:rFonts w:eastAsia="方正仿宋简体"/>
                <w:color w:val="000000"/>
                <w:kern w:val="0"/>
                <w:sz w:val="24"/>
              </w:rPr>
              <w:t>应用数学</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w:t>
            </w:r>
            <w:r>
              <w:rPr>
                <w:rFonts w:eastAsia="方正仿宋简体"/>
                <w:color w:val="000000"/>
                <w:kern w:val="0"/>
                <w:sz w:val="24"/>
              </w:rPr>
              <w:t>具备高级中学教师资格证（数学）或中职学校教师资格证（数学）</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2</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4</w:t>
            </w:r>
          </w:p>
        </w:tc>
        <w:tc>
          <w:tcPr>
            <w:tcW w:w="1276"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康复治疗</w:t>
            </w:r>
          </w:p>
          <w:p>
            <w:pPr>
              <w:widowControl/>
              <w:spacing w:line="280" w:lineRule="exact"/>
              <w:jc w:val="center"/>
              <w:rPr>
                <w:rFonts w:eastAsia="方正仿宋简体"/>
                <w:bCs/>
                <w:color w:val="000000"/>
                <w:kern w:val="0"/>
                <w:sz w:val="24"/>
              </w:rPr>
            </w:pPr>
            <w:r>
              <w:rPr>
                <w:rFonts w:eastAsia="方正仿宋简体"/>
                <w:color w:val="000000"/>
                <w:kern w:val="0"/>
                <w:sz w:val="24"/>
              </w:rPr>
              <w:t>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运动人体科学</w:t>
            </w:r>
            <w:r>
              <w:rPr>
                <w:rFonts w:hint="eastAsia" w:eastAsia="方正仿宋简体"/>
                <w:color w:val="000000"/>
                <w:kern w:val="0"/>
                <w:sz w:val="24"/>
              </w:rPr>
              <w:t>、</w:t>
            </w:r>
            <w:r>
              <w:rPr>
                <w:rFonts w:eastAsia="方正仿宋简体"/>
                <w:color w:val="000000"/>
                <w:kern w:val="0"/>
                <w:sz w:val="24"/>
              </w:rPr>
              <w:t>运动康复学</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color w:val="000000"/>
                <w:kern w:val="0"/>
                <w:sz w:val="24"/>
              </w:rPr>
              <w:t>年龄不超过40周岁</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2</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5</w:t>
            </w:r>
          </w:p>
        </w:tc>
        <w:tc>
          <w:tcPr>
            <w:tcW w:w="1276"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内科学</w:t>
            </w:r>
          </w:p>
          <w:p>
            <w:pPr>
              <w:widowControl/>
              <w:spacing w:line="280" w:lineRule="exact"/>
              <w:jc w:val="center"/>
              <w:rPr>
                <w:rFonts w:eastAsia="方正仿宋简体"/>
                <w:bCs/>
                <w:color w:val="000000"/>
                <w:kern w:val="0"/>
                <w:sz w:val="24"/>
              </w:rPr>
            </w:pPr>
            <w:r>
              <w:rPr>
                <w:rFonts w:eastAsia="方正仿宋简体"/>
                <w:color w:val="000000"/>
                <w:kern w:val="0"/>
                <w:sz w:val="24"/>
              </w:rPr>
              <w:t>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内科学</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jc w:val="left"/>
              <w:rPr>
                <w:rFonts w:eastAsia="方正仿宋简体"/>
                <w:bCs/>
                <w:color w:val="000000"/>
                <w:kern w:val="0"/>
                <w:sz w:val="24"/>
              </w:rPr>
            </w:pPr>
            <w:r>
              <w:rPr>
                <w:rFonts w:eastAsia="方正仿宋简体"/>
                <w:color w:val="000000"/>
                <w:kern w:val="0"/>
                <w:sz w:val="24"/>
              </w:rPr>
              <w:t>年龄不超过40周岁</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6</w:t>
            </w:r>
          </w:p>
        </w:tc>
        <w:tc>
          <w:tcPr>
            <w:tcW w:w="1276"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语文教师</w:t>
            </w:r>
          </w:p>
        </w:tc>
        <w:tc>
          <w:tcPr>
            <w:tcW w:w="2977" w:type="dxa"/>
            <w:gridSpan w:val="2"/>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学科教学（语文）</w:t>
            </w:r>
            <w:r>
              <w:rPr>
                <w:rFonts w:hint="eastAsia" w:eastAsia="方正仿宋简体"/>
                <w:color w:val="000000"/>
                <w:kern w:val="0"/>
                <w:sz w:val="24"/>
              </w:rPr>
              <w:t>、</w:t>
            </w:r>
            <w:r>
              <w:rPr>
                <w:rFonts w:eastAsia="方正仿宋简体"/>
                <w:color w:val="000000"/>
                <w:kern w:val="0"/>
                <w:sz w:val="24"/>
              </w:rPr>
              <w:t>课程与教学论（语文方向）</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w:t>
            </w:r>
            <w:r>
              <w:rPr>
                <w:rFonts w:eastAsia="方正仿宋简体"/>
                <w:color w:val="000000"/>
                <w:kern w:val="0"/>
                <w:sz w:val="24"/>
              </w:rPr>
              <w:t>具备高级中学教师资格证（语文）或中职学校教师资格证（语文）</w:t>
            </w:r>
          </w:p>
        </w:tc>
        <w:tc>
          <w:tcPr>
            <w:tcW w:w="722"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7</w:t>
            </w:r>
          </w:p>
        </w:tc>
        <w:tc>
          <w:tcPr>
            <w:tcW w:w="1276"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思想政治</w:t>
            </w:r>
          </w:p>
          <w:p>
            <w:pPr>
              <w:widowControl/>
              <w:spacing w:line="280" w:lineRule="exact"/>
              <w:jc w:val="center"/>
              <w:rPr>
                <w:rFonts w:eastAsia="方正仿宋简体"/>
                <w:color w:val="000000"/>
                <w:kern w:val="0"/>
                <w:sz w:val="24"/>
              </w:rPr>
            </w:pPr>
            <w:r>
              <w:rPr>
                <w:rFonts w:eastAsia="方正仿宋简体"/>
                <w:color w:val="000000"/>
                <w:kern w:val="0"/>
                <w:sz w:val="24"/>
              </w:rPr>
              <w:t>教师</w:t>
            </w:r>
          </w:p>
        </w:tc>
        <w:tc>
          <w:tcPr>
            <w:tcW w:w="2977" w:type="dxa"/>
            <w:gridSpan w:val="2"/>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思想政治教育</w:t>
            </w:r>
            <w:r>
              <w:rPr>
                <w:rFonts w:hint="eastAsia" w:eastAsia="方正仿宋简体"/>
                <w:color w:val="000000"/>
                <w:kern w:val="0"/>
                <w:sz w:val="24"/>
              </w:rPr>
              <w:t>、</w:t>
            </w:r>
            <w:r>
              <w:rPr>
                <w:rFonts w:eastAsia="方正仿宋简体"/>
                <w:color w:val="000000"/>
                <w:kern w:val="0"/>
                <w:sz w:val="24"/>
              </w:rPr>
              <w:t>学科教学（思政）</w:t>
            </w:r>
            <w:r>
              <w:rPr>
                <w:rFonts w:hint="eastAsia" w:eastAsia="方正仿宋简体"/>
                <w:color w:val="000000"/>
                <w:kern w:val="0"/>
                <w:sz w:val="24"/>
              </w:rPr>
              <w:t>、</w:t>
            </w:r>
            <w:r>
              <w:rPr>
                <w:rFonts w:eastAsia="方正仿宋简体"/>
                <w:color w:val="000000"/>
                <w:kern w:val="0"/>
                <w:sz w:val="24"/>
              </w:rPr>
              <w:t>课程与教学论（思政方向）</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w:t>
            </w:r>
            <w:r>
              <w:rPr>
                <w:rFonts w:eastAsia="方正仿宋简体"/>
                <w:color w:val="000000"/>
                <w:kern w:val="0"/>
                <w:sz w:val="24"/>
              </w:rPr>
              <w:t>具备高级中学教师资格证（思政）或中职学校教师资格证（思政）</w:t>
            </w:r>
          </w:p>
        </w:tc>
        <w:tc>
          <w:tcPr>
            <w:tcW w:w="722"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8</w:t>
            </w:r>
          </w:p>
        </w:tc>
        <w:tc>
          <w:tcPr>
            <w:tcW w:w="1276"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历史教师</w:t>
            </w:r>
          </w:p>
        </w:tc>
        <w:tc>
          <w:tcPr>
            <w:tcW w:w="2977" w:type="dxa"/>
            <w:gridSpan w:val="2"/>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学科教学（历史）</w:t>
            </w:r>
            <w:r>
              <w:rPr>
                <w:rFonts w:hint="eastAsia" w:eastAsia="方正仿宋简体"/>
                <w:color w:val="000000"/>
                <w:kern w:val="0"/>
                <w:sz w:val="24"/>
              </w:rPr>
              <w:t>、</w:t>
            </w:r>
            <w:r>
              <w:rPr>
                <w:rFonts w:eastAsia="方正仿宋简体"/>
                <w:color w:val="000000"/>
                <w:kern w:val="0"/>
                <w:sz w:val="24"/>
              </w:rPr>
              <w:t>课程与教学论（历史方向）</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w:t>
            </w:r>
            <w:r>
              <w:rPr>
                <w:rFonts w:eastAsia="方正仿宋简体"/>
                <w:color w:val="000000"/>
                <w:kern w:val="0"/>
                <w:sz w:val="24"/>
              </w:rPr>
              <w:t>具备高级中学教师资格证（历史）或中职学校教师资格证（历史）</w:t>
            </w:r>
          </w:p>
        </w:tc>
        <w:tc>
          <w:tcPr>
            <w:tcW w:w="722"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1</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jc w:val="center"/>
        </w:trPr>
        <w:tc>
          <w:tcPr>
            <w:tcW w:w="8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9</w:t>
            </w:r>
          </w:p>
        </w:tc>
        <w:tc>
          <w:tcPr>
            <w:tcW w:w="1276"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辅导员</w:t>
            </w:r>
          </w:p>
        </w:tc>
        <w:tc>
          <w:tcPr>
            <w:tcW w:w="2977" w:type="dxa"/>
            <w:gridSpan w:val="2"/>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教育学</w:t>
            </w:r>
            <w:r>
              <w:rPr>
                <w:rFonts w:hint="eastAsia" w:eastAsia="方正仿宋简体"/>
                <w:color w:val="000000"/>
                <w:kern w:val="0"/>
                <w:sz w:val="24"/>
              </w:rPr>
              <w:t>、</w:t>
            </w:r>
            <w:r>
              <w:rPr>
                <w:rFonts w:eastAsia="方正仿宋简体"/>
                <w:color w:val="000000"/>
                <w:kern w:val="0"/>
                <w:sz w:val="24"/>
              </w:rPr>
              <w:t>心理健康教育</w:t>
            </w:r>
          </w:p>
        </w:tc>
        <w:tc>
          <w:tcPr>
            <w:tcW w:w="1701"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c>
          <w:tcPr>
            <w:tcW w:w="1417"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硕士研究生及以上</w:t>
            </w:r>
            <w:r>
              <w:rPr>
                <w:rFonts w:hint="eastAsia" w:eastAsia="方正仿宋简体"/>
                <w:bCs/>
                <w:color w:val="000000"/>
                <w:kern w:val="0"/>
                <w:sz w:val="24"/>
              </w:rPr>
              <w:t>学历且取得相应学位</w:t>
            </w:r>
          </w:p>
        </w:tc>
        <w:tc>
          <w:tcPr>
            <w:tcW w:w="2601" w:type="dxa"/>
            <w:noWrap w:val="0"/>
            <w:tcMar>
              <w:top w:w="57" w:type="dxa"/>
              <w:bottom w:w="57" w:type="dxa"/>
            </w:tcMar>
            <w:vAlign w:val="center"/>
          </w:tcPr>
          <w:p>
            <w:pPr>
              <w:widowControl/>
              <w:spacing w:line="280" w:lineRule="exact"/>
              <w:rPr>
                <w:rFonts w:eastAsia="方正仿宋简体"/>
                <w:color w:val="000000"/>
                <w:kern w:val="0"/>
                <w:sz w:val="24"/>
              </w:rPr>
            </w:pPr>
            <w:r>
              <w:rPr>
                <w:rFonts w:eastAsia="方正仿宋简体"/>
                <w:color w:val="000000"/>
                <w:kern w:val="0"/>
                <w:sz w:val="24"/>
              </w:rPr>
              <w:t>年龄不超过40周岁</w:t>
            </w:r>
            <w:r>
              <w:rPr>
                <w:rFonts w:hint="eastAsia" w:eastAsia="方正仿宋简体"/>
                <w:color w:val="000000"/>
                <w:kern w:val="0"/>
                <w:sz w:val="24"/>
              </w:rPr>
              <w:t>，中共党员</w:t>
            </w:r>
          </w:p>
        </w:tc>
        <w:tc>
          <w:tcPr>
            <w:tcW w:w="722" w:type="dxa"/>
            <w:noWrap w:val="0"/>
            <w:tcMar>
              <w:top w:w="57" w:type="dxa"/>
              <w:bottom w:w="57" w:type="dxa"/>
            </w:tcMar>
            <w:vAlign w:val="center"/>
          </w:tcPr>
          <w:p>
            <w:pPr>
              <w:widowControl/>
              <w:spacing w:line="280" w:lineRule="exact"/>
              <w:jc w:val="center"/>
              <w:rPr>
                <w:rFonts w:eastAsia="方正仿宋简体"/>
                <w:color w:val="000000"/>
                <w:kern w:val="0"/>
                <w:sz w:val="24"/>
              </w:rPr>
            </w:pPr>
            <w:r>
              <w:rPr>
                <w:rFonts w:eastAsia="方正仿宋简体"/>
                <w:color w:val="000000"/>
                <w:kern w:val="0"/>
                <w:sz w:val="24"/>
              </w:rPr>
              <w:t>2</w:t>
            </w:r>
          </w:p>
        </w:tc>
        <w:tc>
          <w:tcPr>
            <w:tcW w:w="1298" w:type="dxa"/>
            <w:noWrap w:val="0"/>
            <w:tcMar>
              <w:top w:w="57" w:type="dxa"/>
              <w:bottom w:w="57" w:type="dxa"/>
            </w:tcMar>
            <w:vAlign w:val="center"/>
          </w:tcPr>
          <w:p>
            <w:pPr>
              <w:widowControl/>
              <w:spacing w:line="28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280" w:lineRule="exact"/>
              <w:jc w:val="center"/>
              <w:rPr>
                <w:rFonts w:eastAsia="方正仿宋简体"/>
                <w:bCs/>
                <w:color w:val="000000"/>
                <w:kern w:val="0"/>
                <w:sz w:val="24"/>
              </w:rPr>
            </w:pPr>
            <w:r>
              <w:rPr>
                <w:rFonts w:eastAsia="方正仿宋简体"/>
                <w:bCs/>
                <w:color w:val="000000"/>
                <w:kern w:val="0"/>
                <w:sz w:val="24"/>
              </w:rPr>
              <w:t>刚性引进</w:t>
            </w:r>
          </w:p>
        </w:tc>
        <w:tc>
          <w:tcPr>
            <w:tcW w:w="2453" w:type="dxa"/>
            <w:noWrap w:val="0"/>
            <w:tcMar>
              <w:top w:w="57" w:type="dxa"/>
              <w:bottom w:w="57" w:type="dxa"/>
            </w:tcMar>
            <w:vAlign w:val="center"/>
          </w:tcPr>
          <w:p>
            <w:pPr>
              <w:widowControl/>
              <w:spacing w:line="280" w:lineRule="exact"/>
              <w:jc w:val="center"/>
              <w:rPr>
                <w:rFonts w:eastAsia="方正仿宋简体"/>
                <w:bCs/>
                <w:color w:val="000000"/>
                <w:kern w:val="0"/>
                <w:sz w:val="24"/>
              </w:rPr>
            </w:pPr>
          </w:p>
        </w:tc>
      </w:tr>
    </w:tbl>
    <w:p>
      <w:pPr>
        <w:pStyle w:val="2"/>
        <w:spacing w:line="240" w:lineRule="exact"/>
        <w:rPr>
          <w:color w:val="000000"/>
          <w:lang w:val="en-US"/>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pStyle w:val="2"/>
        <w:spacing w:line="240" w:lineRule="exact"/>
        <w:rPr>
          <w:rFonts w:hint="eastAsia"/>
          <w:color w:val="000000"/>
        </w:rPr>
      </w:pPr>
    </w:p>
    <w:p>
      <w:pPr>
        <w:ind w:right="210" w:rightChars="100" w:firstLine="280" w:firstLineChars="100"/>
        <w:rPr>
          <w:rFonts w:ascii="仿宋" w:hAnsi="仿宋" w:eastAsia="仿宋"/>
          <w:color w:val="000000"/>
          <w:sz w:val="28"/>
          <w:szCs w:val="28"/>
        </w:rPr>
        <w:sectPr>
          <w:pgSz w:w="16838" w:h="11906" w:orient="landscape"/>
          <w:pgMar w:top="1588" w:right="1418" w:bottom="1474" w:left="1701" w:header="851" w:footer="794" w:gutter="0"/>
          <w:pgNumType w:fmt="numberInDash" w:chapStyle="1"/>
          <w:cols w:space="720" w:num="1"/>
          <w:docGrid w:type="linesAndChars" w:linePitch="312" w:charSpace="0"/>
        </w:sectPr>
      </w:pPr>
    </w:p>
    <w:p>
      <w:pPr>
        <w:spacing w:line="340" w:lineRule="exact"/>
        <w:jc w:val="left"/>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rPr>
        <w:t>附件</w:t>
      </w:r>
      <w:r>
        <w:rPr>
          <w:rFonts w:hint="eastAsia" w:ascii="仿宋" w:hAnsi="仿宋" w:eastAsia="仿宋" w:cs="仿宋"/>
          <w:b/>
          <w:color w:val="000000"/>
          <w:sz w:val="32"/>
          <w:szCs w:val="32"/>
          <w:lang w:val="en-US" w:eastAsia="zh-CN"/>
        </w:rPr>
        <w:t>2</w:t>
      </w:r>
    </w:p>
    <w:p>
      <w:pPr>
        <w:pStyle w:val="3"/>
        <w:rPr>
          <w:rFonts w:hint="eastAsia" w:ascii="仿宋" w:hAnsi="仿宋" w:eastAsia="仿宋" w:cs="仿宋"/>
          <w:color w:val="000000"/>
          <w:lang w:val="en-US" w:eastAsia="zh-CN"/>
        </w:rPr>
      </w:pPr>
    </w:p>
    <w:p>
      <w:pPr>
        <w:spacing w:line="600" w:lineRule="exact"/>
        <w:jc w:val="center"/>
        <w:rPr>
          <w:rFonts w:hint="eastAsia" w:ascii="仿宋" w:hAnsi="仿宋" w:eastAsia="仿宋" w:cs="仿宋"/>
          <w:b/>
          <w:bCs/>
          <w:color w:val="000000"/>
          <w:sz w:val="44"/>
          <w:szCs w:val="44"/>
        </w:rPr>
      </w:pPr>
      <w:r>
        <w:rPr>
          <w:rFonts w:hint="eastAsia" w:ascii="仿宋" w:hAnsi="仿宋" w:eastAsia="仿宋" w:cs="仿宋"/>
          <w:b/>
          <w:bCs/>
          <w:color w:val="000000"/>
          <w:w w:val="96"/>
          <w:sz w:val="44"/>
          <w:szCs w:val="44"/>
        </w:rPr>
        <w:t>南充市2022年度引进高层次人才报名表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1032"/>
        <w:gridCol w:w="843"/>
        <w:gridCol w:w="190"/>
        <w:gridCol w:w="415"/>
        <w:gridCol w:w="424"/>
        <w:gridCol w:w="324"/>
        <w:gridCol w:w="1413"/>
        <w:gridCol w:w="858"/>
        <w:gridCol w:w="57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姓 名</w:t>
            </w:r>
          </w:p>
        </w:tc>
        <w:tc>
          <w:tcPr>
            <w:tcW w:w="1032" w:type="dxa"/>
            <w:noWrap w:val="0"/>
            <w:vAlign w:val="center"/>
          </w:tcPr>
          <w:p>
            <w:pPr>
              <w:spacing w:line="300" w:lineRule="exact"/>
              <w:jc w:val="center"/>
              <w:rPr>
                <w:rFonts w:hint="eastAsia" w:ascii="仿宋" w:hAnsi="仿宋" w:eastAsia="仿宋" w:cs="仿宋"/>
                <w:b/>
                <w:color w:val="000000"/>
                <w:szCs w:val="21"/>
              </w:rPr>
            </w:pPr>
          </w:p>
        </w:tc>
        <w:tc>
          <w:tcPr>
            <w:tcW w:w="1033" w:type="dxa"/>
            <w:gridSpan w:val="2"/>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性 别</w:t>
            </w:r>
          </w:p>
        </w:tc>
        <w:tc>
          <w:tcPr>
            <w:tcW w:w="1163" w:type="dxa"/>
            <w:gridSpan w:val="3"/>
            <w:noWrap w:val="0"/>
            <w:vAlign w:val="center"/>
          </w:tcPr>
          <w:p>
            <w:pPr>
              <w:spacing w:line="300" w:lineRule="exact"/>
              <w:jc w:val="center"/>
              <w:rPr>
                <w:rFonts w:hint="eastAsia" w:ascii="仿宋" w:hAnsi="仿宋" w:eastAsia="仿宋" w:cs="仿宋"/>
                <w:b/>
                <w:color w:val="000000"/>
                <w:szCs w:val="21"/>
              </w:rPr>
            </w:pPr>
          </w:p>
        </w:tc>
        <w:tc>
          <w:tcPr>
            <w:tcW w:w="1413"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出 生</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年 月</w:t>
            </w:r>
          </w:p>
        </w:tc>
        <w:tc>
          <w:tcPr>
            <w:tcW w:w="1429"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570" w:type="dxa"/>
            <w:vMerge w:val="restart"/>
            <w:noWrap w:val="0"/>
            <w:vAlign w:val="center"/>
          </w:tcPr>
          <w:p>
            <w:pPr>
              <w:spacing w:line="320" w:lineRule="exact"/>
              <w:jc w:val="center"/>
              <w:rPr>
                <w:rFonts w:hint="eastAsia" w:ascii="仿宋" w:hAnsi="仿宋" w:eastAsia="仿宋" w:cs="仿宋"/>
                <w:b/>
                <w:color w:val="000000"/>
                <w:szCs w:val="21"/>
              </w:rPr>
            </w:pPr>
            <w:r>
              <w:rPr>
                <w:rFonts w:hint="eastAsia" w:ascii="仿宋" w:hAnsi="仿宋" w:eastAsia="仿宋" w:cs="仿宋"/>
                <w:b/>
                <w:color w:val="000000"/>
                <w:kern w:val="0"/>
                <w:szCs w:val="21"/>
              </w:rPr>
              <w:t>照 片</w:t>
            </w:r>
          </w:p>
          <w:p>
            <w:pPr>
              <w:spacing w:line="320" w:lineRule="exact"/>
              <w:jc w:val="center"/>
              <w:rPr>
                <w:rFonts w:hint="eastAsia" w:ascii="仿宋" w:hAnsi="仿宋" w:eastAsia="仿宋" w:cs="仿宋"/>
                <w:color w:val="000000"/>
                <w:kern w:val="0"/>
                <w:sz w:val="13"/>
                <w:szCs w:val="13"/>
              </w:rPr>
            </w:pPr>
            <w:r>
              <w:rPr>
                <w:rFonts w:hint="eastAsia" w:ascii="仿宋" w:hAnsi="仿宋" w:eastAsia="仿宋" w:cs="仿宋"/>
                <w:color w:val="000000"/>
                <w:kern w:val="0"/>
                <w:szCs w:val="21"/>
              </w:rPr>
              <w:t>（</w:t>
            </w:r>
            <w:r>
              <w:rPr>
                <w:rFonts w:hint="eastAsia" w:ascii="仿宋" w:hAnsi="仿宋" w:eastAsia="仿宋" w:cs="仿宋"/>
                <w:color w:val="000000"/>
                <w:kern w:val="0"/>
                <w:sz w:val="13"/>
                <w:szCs w:val="13"/>
              </w:rPr>
              <w:t>2寸彩色免冠</w:t>
            </w:r>
            <w:r>
              <w:rPr>
                <w:rFonts w:hint="eastAsia" w:ascii="仿宋" w:hAnsi="仿宋" w:eastAsia="仿宋" w:cs="仿宋"/>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民 族</w:t>
            </w:r>
          </w:p>
        </w:tc>
        <w:tc>
          <w:tcPr>
            <w:tcW w:w="1032" w:type="dxa"/>
            <w:noWrap w:val="0"/>
            <w:vAlign w:val="center"/>
          </w:tcPr>
          <w:p>
            <w:pPr>
              <w:spacing w:line="300" w:lineRule="exact"/>
              <w:jc w:val="center"/>
              <w:rPr>
                <w:rFonts w:hint="eastAsia" w:ascii="仿宋" w:hAnsi="仿宋" w:eastAsia="仿宋" w:cs="仿宋"/>
                <w:b/>
                <w:color w:val="000000"/>
                <w:szCs w:val="21"/>
              </w:rPr>
            </w:pPr>
          </w:p>
        </w:tc>
        <w:tc>
          <w:tcPr>
            <w:tcW w:w="1033" w:type="dxa"/>
            <w:gridSpan w:val="2"/>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籍 贯</w:t>
            </w:r>
          </w:p>
        </w:tc>
        <w:tc>
          <w:tcPr>
            <w:tcW w:w="1163" w:type="dxa"/>
            <w:gridSpan w:val="3"/>
            <w:noWrap w:val="0"/>
            <w:vAlign w:val="center"/>
          </w:tcPr>
          <w:p>
            <w:pPr>
              <w:spacing w:line="300" w:lineRule="exact"/>
              <w:jc w:val="center"/>
              <w:rPr>
                <w:rFonts w:hint="eastAsia" w:ascii="仿宋" w:hAnsi="仿宋" w:eastAsia="仿宋" w:cs="仿宋"/>
                <w:b/>
                <w:color w:val="000000"/>
                <w:szCs w:val="21"/>
              </w:rPr>
            </w:pPr>
          </w:p>
        </w:tc>
        <w:tc>
          <w:tcPr>
            <w:tcW w:w="1413"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健 康</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状 况</w:t>
            </w:r>
          </w:p>
        </w:tc>
        <w:tc>
          <w:tcPr>
            <w:tcW w:w="1429"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570" w:type="dxa"/>
            <w:vMerge w:val="continue"/>
            <w:noWrap w:val="0"/>
            <w:vAlign w:val="center"/>
          </w:tcPr>
          <w:p>
            <w:pPr>
              <w:spacing w:line="320" w:lineRule="exact"/>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入 党</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时 间</w:t>
            </w:r>
          </w:p>
        </w:tc>
        <w:tc>
          <w:tcPr>
            <w:tcW w:w="1032" w:type="dxa"/>
            <w:noWrap w:val="0"/>
            <w:vAlign w:val="center"/>
          </w:tcPr>
          <w:p>
            <w:pPr>
              <w:spacing w:line="300" w:lineRule="exact"/>
              <w:jc w:val="center"/>
              <w:rPr>
                <w:rFonts w:hint="eastAsia" w:ascii="仿宋" w:hAnsi="仿宋" w:eastAsia="仿宋" w:cs="仿宋"/>
                <w:b/>
                <w:color w:val="000000"/>
                <w:szCs w:val="21"/>
              </w:rPr>
            </w:pPr>
          </w:p>
        </w:tc>
        <w:tc>
          <w:tcPr>
            <w:tcW w:w="1033" w:type="dxa"/>
            <w:gridSpan w:val="2"/>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参 工</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时 间</w:t>
            </w:r>
          </w:p>
        </w:tc>
        <w:tc>
          <w:tcPr>
            <w:tcW w:w="1163" w:type="dxa"/>
            <w:gridSpan w:val="3"/>
            <w:noWrap w:val="0"/>
            <w:vAlign w:val="center"/>
          </w:tcPr>
          <w:p>
            <w:pPr>
              <w:spacing w:line="300" w:lineRule="exact"/>
              <w:jc w:val="center"/>
              <w:rPr>
                <w:rFonts w:hint="eastAsia" w:ascii="仿宋" w:hAnsi="仿宋" w:eastAsia="仿宋" w:cs="仿宋"/>
                <w:b/>
                <w:color w:val="000000"/>
                <w:szCs w:val="21"/>
              </w:rPr>
            </w:pPr>
          </w:p>
        </w:tc>
        <w:tc>
          <w:tcPr>
            <w:tcW w:w="1413"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专业技</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术职务</w:t>
            </w:r>
          </w:p>
        </w:tc>
        <w:tc>
          <w:tcPr>
            <w:tcW w:w="1429"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570" w:type="dxa"/>
            <w:vMerge w:val="continue"/>
            <w:noWrap w:val="0"/>
            <w:vAlign w:val="center"/>
          </w:tcPr>
          <w:p>
            <w:pPr>
              <w:spacing w:line="320" w:lineRule="exact"/>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restart"/>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学 历</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学 位</w:t>
            </w:r>
          </w:p>
        </w:tc>
        <w:tc>
          <w:tcPr>
            <w:tcW w:w="1032"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全日制</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教 育</w:t>
            </w:r>
          </w:p>
        </w:tc>
        <w:tc>
          <w:tcPr>
            <w:tcW w:w="2196" w:type="dxa"/>
            <w:gridSpan w:val="5"/>
            <w:noWrap w:val="0"/>
            <w:vAlign w:val="center"/>
          </w:tcPr>
          <w:p>
            <w:pPr>
              <w:spacing w:line="300" w:lineRule="exact"/>
              <w:jc w:val="center"/>
              <w:rPr>
                <w:rFonts w:hint="eastAsia" w:ascii="仿宋" w:hAnsi="仿宋" w:eastAsia="仿宋" w:cs="仿宋"/>
                <w:b/>
                <w:color w:val="000000"/>
                <w:kern w:val="0"/>
                <w:szCs w:val="21"/>
              </w:rPr>
            </w:pPr>
          </w:p>
        </w:tc>
        <w:tc>
          <w:tcPr>
            <w:tcW w:w="1413"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毕业院校</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系及专业</w:t>
            </w:r>
          </w:p>
        </w:tc>
        <w:tc>
          <w:tcPr>
            <w:tcW w:w="2999" w:type="dxa"/>
            <w:gridSpan w:val="3"/>
            <w:noWrap w:val="0"/>
            <w:vAlign w:val="center"/>
          </w:tcPr>
          <w:p>
            <w:pPr>
              <w:spacing w:line="320" w:lineRule="exact"/>
              <w:jc w:val="center"/>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continue"/>
            <w:noWrap w:val="0"/>
            <w:vAlign w:val="center"/>
          </w:tcPr>
          <w:p>
            <w:pPr>
              <w:spacing w:line="300" w:lineRule="exact"/>
              <w:jc w:val="center"/>
              <w:rPr>
                <w:rFonts w:hint="eastAsia" w:ascii="仿宋" w:hAnsi="仿宋" w:eastAsia="仿宋" w:cs="仿宋"/>
                <w:b/>
                <w:color w:val="000000"/>
                <w:kern w:val="0"/>
                <w:szCs w:val="21"/>
              </w:rPr>
            </w:pPr>
          </w:p>
        </w:tc>
        <w:tc>
          <w:tcPr>
            <w:tcW w:w="1032"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在 职</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教 育</w:t>
            </w:r>
          </w:p>
        </w:tc>
        <w:tc>
          <w:tcPr>
            <w:tcW w:w="2196" w:type="dxa"/>
            <w:gridSpan w:val="5"/>
            <w:noWrap w:val="0"/>
            <w:vAlign w:val="center"/>
          </w:tcPr>
          <w:p>
            <w:pPr>
              <w:spacing w:line="300" w:lineRule="exact"/>
              <w:jc w:val="center"/>
              <w:rPr>
                <w:rFonts w:hint="eastAsia" w:ascii="仿宋" w:hAnsi="仿宋" w:eastAsia="仿宋" w:cs="仿宋"/>
                <w:b/>
                <w:color w:val="000000"/>
                <w:kern w:val="0"/>
                <w:szCs w:val="21"/>
              </w:rPr>
            </w:pPr>
          </w:p>
        </w:tc>
        <w:tc>
          <w:tcPr>
            <w:tcW w:w="1413" w:type="dxa"/>
            <w:noWrap w:val="0"/>
            <w:vAlign w:val="center"/>
          </w:tcPr>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毕业院校</w:t>
            </w:r>
          </w:p>
          <w:p>
            <w:pPr>
              <w:spacing w:line="30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系及专业</w:t>
            </w:r>
          </w:p>
        </w:tc>
        <w:tc>
          <w:tcPr>
            <w:tcW w:w="2999" w:type="dxa"/>
            <w:gridSpan w:val="3"/>
            <w:noWrap w:val="0"/>
            <w:vAlign w:val="center"/>
          </w:tcPr>
          <w:p>
            <w:pPr>
              <w:spacing w:line="320" w:lineRule="exact"/>
              <w:jc w:val="center"/>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身份证号</w:t>
            </w:r>
          </w:p>
        </w:tc>
        <w:tc>
          <w:tcPr>
            <w:tcW w:w="2065" w:type="dxa"/>
            <w:gridSpan w:val="3"/>
            <w:noWrap w:val="0"/>
            <w:vAlign w:val="center"/>
          </w:tcPr>
          <w:p>
            <w:pPr>
              <w:spacing w:line="320" w:lineRule="exact"/>
              <w:jc w:val="center"/>
              <w:rPr>
                <w:rFonts w:hint="eastAsia" w:ascii="仿宋" w:hAnsi="仿宋" w:eastAsia="仿宋" w:cs="仿宋"/>
                <w:b/>
                <w:color w:val="000000"/>
                <w:kern w:val="0"/>
                <w:szCs w:val="21"/>
              </w:rPr>
            </w:pPr>
          </w:p>
        </w:tc>
        <w:tc>
          <w:tcPr>
            <w:tcW w:w="839" w:type="dxa"/>
            <w:gridSpan w:val="2"/>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联系</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电话</w:t>
            </w:r>
          </w:p>
        </w:tc>
        <w:tc>
          <w:tcPr>
            <w:tcW w:w="1737"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858"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电子</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邮箱</w:t>
            </w:r>
          </w:p>
        </w:tc>
        <w:tc>
          <w:tcPr>
            <w:tcW w:w="2141" w:type="dxa"/>
            <w:gridSpan w:val="2"/>
            <w:noWrap w:val="0"/>
            <w:vAlign w:val="center"/>
          </w:tcPr>
          <w:p>
            <w:pPr>
              <w:spacing w:line="320" w:lineRule="exact"/>
              <w:jc w:val="center"/>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现工作</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单位</w:t>
            </w:r>
          </w:p>
        </w:tc>
        <w:tc>
          <w:tcPr>
            <w:tcW w:w="7640" w:type="dxa"/>
            <w:gridSpan w:val="10"/>
            <w:noWrap w:val="0"/>
            <w:vAlign w:val="center"/>
          </w:tcPr>
          <w:p>
            <w:pPr>
              <w:spacing w:line="320" w:lineRule="exact"/>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报考单位</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及岗位</w:t>
            </w:r>
          </w:p>
        </w:tc>
        <w:tc>
          <w:tcPr>
            <w:tcW w:w="7640" w:type="dxa"/>
            <w:gridSpan w:val="10"/>
            <w:noWrap w:val="0"/>
            <w:vAlign w:val="center"/>
          </w:tcPr>
          <w:p>
            <w:pPr>
              <w:spacing w:line="320" w:lineRule="exact"/>
              <w:jc w:val="center"/>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5" w:hRule="atLeast"/>
          <w:jc w:val="center"/>
        </w:trPr>
        <w:tc>
          <w:tcPr>
            <w:tcW w:w="1415"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简</w:t>
            </w:r>
          </w:p>
          <w:p>
            <w:pPr>
              <w:pStyle w:val="3"/>
              <w:rPr>
                <w:rFonts w:hint="eastAsia" w:ascii="仿宋" w:hAnsi="仿宋" w:eastAsia="仿宋" w:cs="仿宋"/>
                <w:b/>
                <w:color w:val="000000"/>
                <w:kern w:val="0"/>
                <w:sz w:val="21"/>
                <w:szCs w:val="21"/>
                <w:lang w:val="en-US" w:eastAsia="zh-CN"/>
              </w:rPr>
            </w:pP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历</w:t>
            </w:r>
          </w:p>
        </w:tc>
        <w:tc>
          <w:tcPr>
            <w:tcW w:w="7640" w:type="dxa"/>
            <w:gridSpan w:val="10"/>
            <w:noWrap w:val="0"/>
            <w:vAlign w:val="center"/>
          </w:tcPr>
          <w:p>
            <w:pPr>
              <w:spacing w:line="320" w:lineRule="exact"/>
              <w:rPr>
                <w:rFonts w:hint="eastAsia" w:ascii="仿宋" w:hAnsi="仿宋" w:eastAsia="仿宋" w:cs="仿宋"/>
                <w:b/>
                <w:i/>
                <w:color w:val="000000"/>
                <w:szCs w:val="21"/>
              </w:rPr>
            </w:pPr>
            <w:r>
              <w:rPr>
                <w:rFonts w:hint="eastAsia" w:ascii="仿宋" w:hAnsi="仿宋" w:eastAsia="仿宋" w:cs="仿宋"/>
                <w:b/>
                <w:i/>
                <w:color w:val="000000"/>
                <w:szCs w:val="21"/>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415" w:type="dxa"/>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奖惩</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情况</w:t>
            </w:r>
          </w:p>
        </w:tc>
        <w:tc>
          <w:tcPr>
            <w:tcW w:w="7640" w:type="dxa"/>
            <w:gridSpan w:val="10"/>
            <w:noWrap w:val="0"/>
            <w:vAlign w:val="center"/>
          </w:tcPr>
          <w:p>
            <w:pPr>
              <w:spacing w:line="320" w:lineRule="exact"/>
              <w:rPr>
                <w:rFonts w:hint="eastAsia" w:ascii="仿宋" w:hAnsi="仿宋" w:eastAsia="仿宋" w:cs="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415" w:type="dxa"/>
            <w:vMerge w:val="restart"/>
            <w:noWrap w:val="0"/>
            <w:vAlign w:val="center"/>
          </w:tcPr>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家庭主要</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成员及重</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要社会</w:t>
            </w:r>
          </w:p>
          <w:p>
            <w:pPr>
              <w:spacing w:line="32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关系</w:t>
            </w:r>
          </w:p>
        </w:tc>
        <w:tc>
          <w:tcPr>
            <w:tcW w:w="1032" w:type="dxa"/>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称谓</w:t>
            </w:r>
          </w:p>
        </w:tc>
        <w:tc>
          <w:tcPr>
            <w:tcW w:w="843" w:type="dxa"/>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姓名</w:t>
            </w:r>
          </w:p>
        </w:tc>
        <w:tc>
          <w:tcPr>
            <w:tcW w:w="605" w:type="dxa"/>
            <w:gridSpan w:val="2"/>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年</w:t>
            </w:r>
          </w:p>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龄</w:t>
            </w:r>
          </w:p>
        </w:tc>
        <w:tc>
          <w:tcPr>
            <w:tcW w:w="748" w:type="dxa"/>
            <w:gridSpan w:val="2"/>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政治</w:t>
            </w:r>
          </w:p>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面貌</w:t>
            </w:r>
          </w:p>
        </w:tc>
        <w:tc>
          <w:tcPr>
            <w:tcW w:w="1413" w:type="dxa"/>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是否有</w:t>
            </w:r>
          </w:p>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回避关系</w:t>
            </w:r>
          </w:p>
        </w:tc>
        <w:tc>
          <w:tcPr>
            <w:tcW w:w="2999" w:type="dxa"/>
            <w:gridSpan w:val="3"/>
            <w:noWrap w:val="0"/>
            <w:vAlign w:val="center"/>
          </w:tcPr>
          <w:p>
            <w:pPr>
              <w:spacing w:line="240" w:lineRule="exact"/>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noWrap w:val="0"/>
            <w:vAlign w:val="center"/>
          </w:tcPr>
          <w:p>
            <w:pPr>
              <w:spacing w:line="360" w:lineRule="exact"/>
              <w:rPr>
                <w:rFonts w:hint="eastAsia" w:ascii="仿宋" w:hAnsi="仿宋" w:eastAsia="仿宋" w:cs="仿宋"/>
                <w:b/>
                <w:color w:val="000000"/>
                <w:szCs w:val="21"/>
              </w:rPr>
            </w:pPr>
          </w:p>
        </w:tc>
        <w:tc>
          <w:tcPr>
            <w:tcW w:w="1032" w:type="dxa"/>
            <w:noWrap w:val="0"/>
            <w:vAlign w:val="center"/>
          </w:tcPr>
          <w:p>
            <w:pPr>
              <w:spacing w:line="320" w:lineRule="exact"/>
              <w:jc w:val="center"/>
              <w:rPr>
                <w:rFonts w:hint="eastAsia" w:ascii="仿宋" w:hAnsi="仿宋" w:eastAsia="仿宋" w:cs="仿宋"/>
                <w:b/>
                <w:color w:val="000000"/>
                <w:kern w:val="0"/>
                <w:szCs w:val="21"/>
              </w:rPr>
            </w:pPr>
          </w:p>
        </w:tc>
        <w:tc>
          <w:tcPr>
            <w:tcW w:w="843" w:type="dxa"/>
            <w:noWrap w:val="0"/>
            <w:vAlign w:val="center"/>
          </w:tcPr>
          <w:p>
            <w:pPr>
              <w:spacing w:line="320" w:lineRule="exact"/>
              <w:jc w:val="center"/>
              <w:rPr>
                <w:rFonts w:hint="eastAsia" w:ascii="仿宋" w:hAnsi="仿宋" w:eastAsia="仿宋" w:cs="仿宋"/>
                <w:b/>
                <w:color w:val="000000"/>
                <w:kern w:val="0"/>
                <w:szCs w:val="21"/>
              </w:rPr>
            </w:pPr>
          </w:p>
        </w:tc>
        <w:tc>
          <w:tcPr>
            <w:tcW w:w="605"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748"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413" w:type="dxa"/>
            <w:noWrap w:val="0"/>
            <w:vAlign w:val="center"/>
          </w:tcPr>
          <w:p>
            <w:pPr>
              <w:spacing w:line="320" w:lineRule="exact"/>
              <w:jc w:val="center"/>
              <w:rPr>
                <w:rFonts w:hint="eastAsia" w:ascii="仿宋" w:hAnsi="仿宋" w:eastAsia="仿宋" w:cs="仿宋"/>
                <w:b/>
                <w:color w:val="000000"/>
                <w:kern w:val="0"/>
                <w:szCs w:val="21"/>
              </w:rPr>
            </w:pPr>
          </w:p>
        </w:tc>
        <w:tc>
          <w:tcPr>
            <w:tcW w:w="2999" w:type="dxa"/>
            <w:gridSpan w:val="3"/>
            <w:noWrap w:val="0"/>
            <w:vAlign w:val="center"/>
          </w:tcPr>
          <w:p>
            <w:pPr>
              <w:spacing w:line="320" w:lineRule="exact"/>
              <w:jc w:val="center"/>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noWrap w:val="0"/>
            <w:vAlign w:val="center"/>
          </w:tcPr>
          <w:p>
            <w:pPr>
              <w:spacing w:line="360" w:lineRule="exact"/>
              <w:rPr>
                <w:rFonts w:hint="eastAsia" w:ascii="仿宋" w:hAnsi="仿宋" w:eastAsia="仿宋" w:cs="仿宋"/>
                <w:b/>
                <w:color w:val="000000"/>
                <w:szCs w:val="21"/>
              </w:rPr>
            </w:pPr>
          </w:p>
        </w:tc>
        <w:tc>
          <w:tcPr>
            <w:tcW w:w="1032" w:type="dxa"/>
            <w:noWrap w:val="0"/>
            <w:vAlign w:val="center"/>
          </w:tcPr>
          <w:p>
            <w:pPr>
              <w:spacing w:line="320" w:lineRule="exact"/>
              <w:jc w:val="center"/>
              <w:rPr>
                <w:rFonts w:hint="eastAsia" w:ascii="仿宋" w:hAnsi="仿宋" w:eastAsia="仿宋" w:cs="仿宋"/>
                <w:b/>
                <w:color w:val="000000"/>
                <w:kern w:val="0"/>
                <w:szCs w:val="21"/>
              </w:rPr>
            </w:pPr>
          </w:p>
        </w:tc>
        <w:tc>
          <w:tcPr>
            <w:tcW w:w="843" w:type="dxa"/>
            <w:noWrap w:val="0"/>
            <w:vAlign w:val="center"/>
          </w:tcPr>
          <w:p>
            <w:pPr>
              <w:spacing w:line="320" w:lineRule="exact"/>
              <w:jc w:val="center"/>
              <w:rPr>
                <w:rFonts w:hint="eastAsia" w:ascii="仿宋" w:hAnsi="仿宋" w:eastAsia="仿宋" w:cs="仿宋"/>
                <w:b/>
                <w:color w:val="000000"/>
                <w:kern w:val="0"/>
                <w:szCs w:val="21"/>
              </w:rPr>
            </w:pPr>
          </w:p>
        </w:tc>
        <w:tc>
          <w:tcPr>
            <w:tcW w:w="605"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748"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413" w:type="dxa"/>
            <w:noWrap w:val="0"/>
            <w:vAlign w:val="center"/>
          </w:tcPr>
          <w:p>
            <w:pPr>
              <w:spacing w:line="320" w:lineRule="exact"/>
              <w:jc w:val="center"/>
              <w:rPr>
                <w:rFonts w:hint="eastAsia" w:ascii="仿宋" w:hAnsi="仿宋" w:eastAsia="仿宋" w:cs="仿宋"/>
                <w:b/>
                <w:color w:val="000000"/>
                <w:kern w:val="0"/>
                <w:szCs w:val="21"/>
              </w:rPr>
            </w:pPr>
          </w:p>
        </w:tc>
        <w:tc>
          <w:tcPr>
            <w:tcW w:w="2999" w:type="dxa"/>
            <w:gridSpan w:val="3"/>
            <w:noWrap w:val="0"/>
            <w:vAlign w:val="center"/>
          </w:tcPr>
          <w:p>
            <w:pPr>
              <w:spacing w:line="320" w:lineRule="exact"/>
              <w:jc w:val="center"/>
              <w:rPr>
                <w:rFonts w:hint="eastAsia" w:ascii="仿宋" w:hAnsi="仿宋" w:eastAsia="仿宋" w:cs="仿宋"/>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exact"/>
          <w:jc w:val="center"/>
        </w:trPr>
        <w:tc>
          <w:tcPr>
            <w:tcW w:w="1415" w:type="dxa"/>
            <w:vMerge w:val="continue"/>
            <w:noWrap w:val="0"/>
            <w:vAlign w:val="center"/>
          </w:tcPr>
          <w:p>
            <w:pPr>
              <w:spacing w:line="360" w:lineRule="exact"/>
              <w:rPr>
                <w:rFonts w:hint="eastAsia" w:ascii="仿宋" w:hAnsi="仿宋" w:eastAsia="仿宋" w:cs="仿宋"/>
                <w:b/>
                <w:color w:val="000000"/>
                <w:szCs w:val="21"/>
              </w:rPr>
            </w:pPr>
          </w:p>
        </w:tc>
        <w:tc>
          <w:tcPr>
            <w:tcW w:w="1032" w:type="dxa"/>
            <w:noWrap w:val="0"/>
            <w:vAlign w:val="center"/>
          </w:tcPr>
          <w:p>
            <w:pPr>
              <w:spacing w:line="320" w:lineRule="exact"/>
              <w:jc w:val="center"/>
              <w:rPr>
                <w:rFonts w:hint="eastAsia" w:ascii="仿宋" w:hAnsi="仿宋" w:eastAsia="仿宋" w:cs="仿宋"/>
                <w:b/>
                <w:color w:val="000000"/>
                <w:kern w:val="0"/>
                <w:szCs w:val="21"/>
              </w:rPr>
            </w:pPr>
          </w:p>
        </w:tc>
        <w:tc>
          <w:tcPr>
            <w:tcW w:w="843" w:type="dxa"/>
            <w:noWrap w:val="0"/>
            <w:vAlign w:val="center"/>
          </w:tcPr>
          <w:p>
            <w:pPr>
              <w:spacing w:line="320" w:lineRule="exact"/>
              <w:jc w:val="center"/>
              <w:rPr>
                <w:rFonts w:hint="eastAsia" w:ascii="仿宋" w:hAnsi="仿宋" w:eastAsia="仿宋" w:cs="仿宋"/>
                <w:b/>
                <w:color w:val="000000"/>
                <w:kern w:val="0"/>
                <w:szCs w:val="21"/>
              </w:rPr>
            </w:pPr>
          </w:p>
        </w:tc>
        <w:tc>
          <w:tcPr>
            <w:tcW w:w="605"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748" w:type="dxa"/>
            <w:gridSpan w:val="2"/>
            <w:noWrap w:val="0"/>
            <w:vAlign w:val="center"/>
          </w:tcPr>
          <w:p>
            <w:pPr>
              <w:spacing w:line="320" w:lineRule="exact"/>
              <w:jc w:val="center"/>
              <w:rPr>
                <w:rFonts w:hint="eastAsia" w:ascii="仿宋" w:hAnsi="仿宋" w:eastAsia="仿宋" w:cs="仿宋"/>
                <w:b/>
                <w:color w:val="000000"/>
                <w:kern w:val="0"/>
                <w:szCs w:val="21"/>
              </w:rPr>
            </w:pPr>
          </w:p>
        </w:tc>
        <w:tc>
          <w:tcPr>
            <w:tcW w:w="1413" w:type="dxa"/>
            <w:noWrap w:val="0"/>
            <w:vAlign w:val="center"/>
          </w:tcPr>
          <w:p>
            <w:pPr>
              <w:spacing w:line="320" w:lineRule="exact"/>
              <w:jc w:val="center"/>
              <w:rPr>
                <w:rFonts w:hint="eastAsia" w:ascii="仿宋" w:hAnsi="仿宋" w:eastAsia="仿宋" w:cs="仿宋"/>
                <w:b/>
                <w:color w:val="000000"/>
                <w:kern w:val="0"/>
                <w:szCs w:val="21"/>
              </w:rPr>
            </w:pPr>
          </w:p>
        </w:tc>
        <w:tc>
          <w:tcPr>
            <w:tcW w:w="2999" w:type="dxa"/>
            <w:gridSpan w:val="3"/>
            <w:noWrap w:val="0"/>
            <w:vAlign w:val="center"/>
          </w:tcPr>
          <w:p>
            <w:pPr>
              <w:spacing w:line="320" w:lineRule="exact"/>
              <w:jc w:val="center"/>
              <w:rPr>
                <w:rFonts w:hint="eastAsia" w:ascii="仿宋" w:hAnsi="仿宋" w:eastAsia="仿宋" w:cs="仿宋"/>
                <w:b/>
                <w:color w:val="000000"/>
                <w:kern w:val="0"/>
                <w:szCs w:val="21"/>
              </w:rPr>
            </w:pPr>
          </w:p>
        </w:tc>
      </w:tr>
    </w:tbl>
    <w:p>
      <w:pPr>
        <w:ind w:right="210" w:rightChars="100"/>
        <w:rPr>
          <w:rFonts w:hint="eastAsia" w:ascii="方正小标宋简体" w:hAnsi="仿宋" w:eastAsia="方正小标宋简体"/>
          <w:color w:val="000000"/>
          <w:sz w:val="24"/>
          <w:szCs w:val="28"/>
        </w:rPr>
      </w:pPr>
    </w:p>
    <w:p>
      <w:pPr>
        <w:ind w:right="210" w:rightChars="100"/>
        <w:rPr>
          <w:rFonts w:hint="eastAsia" w:ascii="方正小标宋简体" w:hAnsi="仿宋" w:eastAsia="方正小标宋简体"/>
          <w:color w:val="000000" w:themeColor="text1"/>
          <w:sz w:val="24"/>
          <w:szCs w:val="28"/>
          <w:lang w:eastAsia="zh-CN"/>
          <w14:textFill>
            <w14:solidFill>
              <w14:schemeClr w14:val="tx1"/>
            </w14:solidFill>
          </w14:textFill>
        </w:rPr>
      </w:pPr>
      <w:r>
        <w:rPr>
          <w:rFonts w:hint="eastAsia" w:ascii="方正小标宋简体" w:hAnsi="仿宋" w:eastAsia="方正小标宋简体"/>
          <w:color w:val="000000" w:themeColor="text1"/>
          <w:sz w:val="24"/>
          <w:szCs w:val="28"/>
          <w14:textFill>
            <w14:solidFill>
              <w14:schemeClr w14:val="tx1"/>
            </w14:solidFill>
          </w14:textFill>
        </w:rPr>
        <w:t>附件</w:t>
      </w:r>
      <w:r>
        <w:rPr>
          <w:rFonts w:hint="eastAsia" w:ascii="方正小标宋简体" w:hAnsi="仿宋" w:eastAsia="方正小标宋简体"/>
          <w:color w:val="000000" w:themeColor="text1"/>
          <w:sz w:val="24"/>
          <w:szCs w:val="28"/>
          <w:lang w:val="en-US" w:eastAsia="zh-CN"/>
          <w14:textFill>
            <w14:solidFill>
              <w14:schemeClr w14:val="tx1"/>
            </w14:solidFill>
          </w14:textFill>
        </w:rPr>
        <w:t>3</w:t>
      </w:r>
    </w:p>
    <w:p>
      <w:pPr>
        <w:spacing w:line="330" w:lineRule="exact"/>
        <w:jc w:val="center"/>
        <w:rPr>
          <w:rFonts w:ascii="方正小标宋简体" w:hAnsi="方正小标宋简体" w:eastAsia="方正小标宋简体" w:cs="方正小标宋简体"/>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14:textFill>
            <w14:solidFill>
              <w14:schemeClr w14:val="tx1"/>
            </w14:solidFill>
          </w14:textFill>
        </w:rPr>
        <w:t>四川省南充卫生学校</w:t>
      </w:r>
    </w:p>
    <w:p>
      <w:pPr>
        <w:spacing w:line="330" w:lineRule="exact"/>
        <w:jc w:val="center"/>
        <w:rPr>
          <w:rFonts w:ascii="方正小标宋简体" w:hAnsi="方正小标宋简体" w:eastAsia="方正小标宋简体" w:cs="方正小标宋简体"/>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14:textFill>
            <w14:solidFill>
              <w14:schemeClr w14:val="tx1"/>
            </w14:solidFill>
          </w14:textFill>
        </w:rPr>
        <w:t>2022年“嘉陵江英才工程”公开引进高层次人才新冠肺炎疫情防控告知暨承诺书</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一</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请广大考生务必做好自我健康管理，通过微信小程序“国家政务服务平台”及“四川天府健康通”申领本人防疫健康码，并于考前15天起持续关注健康码状态。</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二</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考生赴考时如乘坐公共交通工具，需要全程规范佩戴口罩，保持安全社交距离，做好手部卫生。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三</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请考生提前准备好当天本人防疫健康码（绿码）和通信大数据行程卡（绿码）、面试通知书、有效身份证件以及核酸检测阴性报告证明（纸质、电子版均可，下同），并配合工作人员做好入场扫码和体温检测准备。</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四</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所有考生需持本人资格审查和考试前48小时内川内有资质的检测服务机构出具的核酸检测阴性报告证明，方可参加资格审查和考试。核酸检测报告时间以出具时间为准，非采样时间或报告打印时间。请考生提前做好采样准备，经查验检测结果、结果出具时间等不符合规定的考生，不得参加资格审查和考试。</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五</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资格审查和考试前14天内有中高风险地区所在地市其他县（市、区、旗）和中高风险地区所在直辖市的县（区）其他乡镇（街道）旅居史、有本土感染者但未划定中高风险地区的县（市、区、旗）及不设区的地级市旅居史的考生，需提供资格审查和考试前3天内2次（采样时间间隔24小时，最后一次采样须在川内有资质的检测服务机构进行）核酸检测阴性证明。</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六</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经现场测量体温正常（＜37.3℃）且无咳嗽等呼吸道异常症状者方可进入考点；经现场确认有体温异常或呼吸道异常症状者，不再参加此次考试，应配合到定点收治医院发热门诊就诊。</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七</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有以下情况之一者，不得参加本次考试：</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（1）健康码或行程卡为“红码”或“黄码”的考生；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（2）经现场确认有体温异常（≥37.3℃）或呼吸道异常症状的考生；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（3）考试前21天内有国（境）外旅居史，尚未完成隔离医学观察等健康管理的考生；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（4）新冠肺炎确诊病例、疑似病例和无症状感染者的密切接触者或次密接者，尚未完成隔离医学观察等健康管理的考生；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5）考前14天内有中高风险地区旅居史、7天内有中高风险地区所在乡镇（街道）旅居史、7天内有中高风险地区所在县（市、区、旗）其他乡镇（街道）旅居史（不含直辖市），正在实施集中隔离、居家隔离及居家健康监测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（6）未按要求提供相应核酸检测阴性报告证明及其他有关证明的考生。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八</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lang w:val="en-US" w:eastAsia="zh-CN"/>
          <w14:textFill>
            <w14:solidFill>
              <w14:schemeClr w14:val="tx1"/>
            </w14:solidFill>
          </w14:textFill>
        </w:rPr>
        <w:t>九、其他疫情防控要求，按南充当地疫情防控部门规定执行。鉴于近期国内疫情多点散发，考试疫情防控相关规定将根据国家和我省疫情防控的总体部署和最新要求进行动态调整。请考生密切关注四川省和南充市的最新防疫要求，并严格按相关规定执行。</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十、</w:t>
      </w:r>
      <w:r>
        <w:rPr>
          <w:rFonts w:hint="eastAsia" w:ascii="仿宋" w:hAnsi="仿宋" w:eastAsia="仿宋" w:cs="仿宋"/>
          <w:bCs/>
          <w:color w:val="000000" w:themeColor="text1"/>
          <w:szCs w:val="21"/>
          <w14:textFill>
            <w14:solidFill>
              <w14:schemeClr w14:val="tx1"/>
            </w14:solidFill>
          </w14:textFill>
        </w:rPr>
        <w:t>考生在领取面试通知书前须签署《四川省南充卫生学校2022年“嘉陵江英才工程”公开引进高层次人才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50" w:lineRule="exact"/>
        <w:ind w:firstLine="6300" w:firstLineChars="3000"/>
        <w:rPr>
          <w:rFonts w:eastAsia="仿宋"/>
          <w:color w:val="000000" w:themeColor="text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四川省南充卫生学校</w:t>
      </w:r>
    </w:p>
    <w:p>
      <w:pPr>
        <w:spacing w:line="25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                                                            2022年    月    日</w:t>
      </w:r>
    </w:p>
    <w:p>
      <w:pPr>
        <w:spacing w:line="25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 ......................................................................   </w:t>
      </w:r>
    </w:p>
    <w:p>
      <w:pPr>
        <w:spacing w:line="250" w:lineRule="exact"/>
        <w:ind w:firstLine="420"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本人已认真阅读《四川省南充卫生学校2022年“嘉陵江英才工程”公开引进高层次人才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3"/>
        <w:spacing w:line="250" w:lineRule="exact"/>
        <w:rPr>
          <w:rFonts w:ascii="仿宋" w:hAnsi="仿宋" w:eastAsia="仿宋" w:cs="仿宋"/>
          <w:bCs/>
          <w:color w:val="000000" w:themeColor="text1"/>
          <w:sz w:val="21"/>
          <w:szCs w:val="21"/>
          <w14:textFill>
            <w14:solidFill>
              <w14:schemeClr w14:val="tx1"/>
            </w14:solidFill>
          </w14:textFill>
        </w:rPr>
      </w:pPr>
    </w:p>
    <w:p>
      <w:pPr>
        <w:pStyle w:val="3"/>
        <w:spacing w:line="250" w:lineRule="exact"/>
        <w:ind w:firstLine="5040" w:firstLineChars="24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承诺人（签字）：</w:t>
      </w:r>
    </w:p>
    <w:p>
      <w:pPr>
        <w:pStyle w:val="3"/>
        <w:spacing w:line="250" w:lineRule="exact"/>
        <w:rPr>
          <w:rFonts w:hint="eastAsia" w:ascii="仿宋" w:hAnsi="仿宋" w:eastAsia="仿宋"/>
          <w:color w:val="000000"/>
          <w:sz w:val="28"/>
          <w:szCs w:val="28"/>
        </w:rPr>
      </w:pPr>
      <w:bookmarkStart w:id="0" w:name="_GoBack"/>
      <w:bookmarkEnd w:id="0"/>
    </w:p>
    <w:sectPr>
      <w:footerReference r:id="rId5" w:type="first"/>
      <w:footerReference r:id="rId3" w:type="default"/>
      <w:footerReference r:id="rId4" w:type="even"/>
      <w:pgSz w:w="11906" w:h="16838"/>
      <w:pgMar w:top="1701" w:right="1588" w:bottom="1418" w:left="1474" w:header="851" w:footer="794" w:gutter="0"/>
      <w:pgNumType w:fmt="numberInDash" w:chapStyle="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3000509000000000000"/>
    <w:charset w:val="00"/>
    <w:family w:val="script"/>
    <w:pitch w:val="default"/>
    <w:sig w:usb0="00000000" w:usb1="00000000" w:usb2="00000010" w:usb3="00000000" w:csb0="00040000" w:csb1="00000000"/>
  </w:font>
  <w:font w:name="方正仿宋简体">
    <w:altName w:val="方正仿宋_GBK"/>
    <w:panose1 w:val="03000509000000000000"/>
    <w:charset w:val="00"/>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52" w:rightChars="12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3"/>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5F7C97"/>
    <w:rsid w:val="FB5F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2022-03-23T11:54:00Z</dcterms:created>
  <dc:creator>user</dc:creator>
  <cp:lastModifiedBy>user</cp:lastModifiedBy>
  <dcterms:modified xsi:type="dcterms:W3CDTF">2022-03-23T11:54:55Z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