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91" w:type="dxa"/>
        <w:tblInd w:w="-12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31"/>
        <w:gridCol w:w="1296"/>
        <w:gridCol w:w="1909"/>
        <w:gridCol w:w="1132"/>
        <w:gridCol w:w="1050"/>
        <w:gridCol w:w="1492"/>
        <w:gridCol w:w="731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65" w:hRule="atLeast"/>
        </w:trPr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  <w:t>县属国有投资集团有限公司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Times New Roman"/>
                <w:b w:val="0"/>
                <w:bCs/>
                <w:color w:val="auto"/>
                <w:sz w:val="44"/>
                <w:szCs w:val="44"/>
                <w:u w:val="none"/>
                <w:lang w:eastAsia="zh-CN"/>
              </w:rPr>
              <w:t>年公开招聘管理人员应聘报名表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Calibri" w:eastAsia="仿宋_GB2312" w:cs="仿宋_GB2312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（非公职人员）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 证号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近期一寸免冠彩照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全日制教育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8"/>
              </w:tabs>
              <w:jc w:val="left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7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在职教育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9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持有职称/资格证书</w:t>
            </w: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4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  住址</w:t>
            </w:r>
          </w:p>
        </w:tc>
        <w:tc>
          <w:tcPr>
            <w:tcW w:w="4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与主要社会关系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  关系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个人履历及奖惩情况</w:t>
            </w:r>
          </w:p>
        </w:tc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585" w:tblpY="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1.“姓名”栏应与身份证相符。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2.“出生年月”栏按公历填写到月，如 “198</w:t>
            </w:r>
            <w:r>
              <w:rPr>
                <w:rFonts w:hint="eastAsia" w:asci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  <w:r>
              <w:rPr>
                <w:rFonts w:hint="eastAsia" w:asci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3.“政治面貌”栏填写“中共党员”“共青团员”或“群众”。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4.“个人简历”从高中填起，要连续填写，不得间断，要填写到月，岗位调整或职务发生变化均应填写，参加在职学习的要在工作简历中反映。 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Calibri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Calibri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.报名表需正反两面打印方有效。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115D093F"/>
    <w:rsid w:val="115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2023-04-21T03:27:00Z</dcterms:created>
  <dc:creator>、煜</dc:creator>
  <cp:lastModifiedBy>、煜</cp:lastModifiedBy>
  <dcterms:modified xsi:type="dcterms:W3CDTF">2023-04-21T03:27:48Z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3C98896DE4684E7B9CB8880CAECAF915_11</vt:lpwstr>
  </property>
</Properties>
</file>