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929" w:tblpY="891"/>
        <w:tblOverlap w:val="never"/>
        <w:tblW w:w="127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080"/>
        <w:gridCol w:w="1140"/>
        <w:gridCol w:w="600"/>
        <w:gridCol w:w="615"/>
        <w:gridCol w:w="735"/>
        <w:gridCol w:w="675"/>
        <w:gridCol w:w="1200"/>
        <w:gridCol w:w="915"/>
        <w:gridCol w:w="840"/>
        <w:gridCol w:w="840"/>
        <w:gridCol w:w="1020"/>
        <w:gridCol w:w="1470"/>
        <w:gridCol w:w="1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2799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b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36"/>
                <w:szCs w:val="36"/>
                <w:lang w:val="en-US" w:eastAsia="zh-CN" w:bidi="ar"/>
              </w:rPr>
              <w:t>威远县市场监督管理局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36"/>
                <w:szCs w:val="36"/>
                <w:lang w:eastAsia="zh-CN" w:bidi="ar"/>
              </w:rPr>
              <w:t>面向全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36"/>
                <w:szCs w:val="36"/>
                <w:lang w:val="en-US" w:eastAsia="zh-CN" w:bidi="ar"/>
              </w:rPr>
              <w:t>市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36"/>
                <w:szCs w:val="36"/>
                <w:lang w:bidi="ar"/>
              </w:rPr>
              <w:t>公开考调事业单位工作人员岗位一览表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sz w:val="22"/>
                <w:szCs w:val="22"/>
              </w:rPr>
              <w:t>序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sz w:val="22"/>
                <w:szCs w:val="22"/>
              </w:rPr>
              <w:t>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  <w:t>考调单位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  <w:t>主管部门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sz w:val="22"/>
                <w:szCs w:val="22"/>
              </w:rPr>
              <w:t>考调单位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  <w:t>经费形式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  <w:t>考调岗位类别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  <w:t>考调名额</w:t>
            </w:r>
          </w:p>
        </w:tc>
        <w:tc>
          <w:tcPr>
            <w:tcW w:w="62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  <w:t>报 考 条 件                                                                （请考生务必仔细阅读完本考调公告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  <w:t>和说明后再填报）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color w:val="auto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color w:val="auto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color w:val="auto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  <w:t>学历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  <w:t>学位   要求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  <w:t>其他条件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0"/>
                <w:szCs w:val="20"/>
                <w:lang w:val="en-US" w:eastAsia="zh-CN"/>
              </w:rPr>
              <w:t>威远县市场监督管理局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0"/>
                <w:szCs w:val="20"/>
                <w:lang w:val="en-US" w:eastAsia="zh-CN"/>
              </w:rPr>
              <w:t>威远县计量测试所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0"/>
                <w:szCs w:val="20"/>
                <w:lang w:eastAsia="zh-Han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0"/>
                <w:szCs w:val="20"/>
                <w:lang w:val="en-US" w:eastAsia="zh-CN"/>
              </w:rPr>
              <w:t>差额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0"/>
                <w:szCs w:val="20"/>
                <w:lang w:val="en-US" w:eastAsia="zh-Hans"/>
              </w:rPr>
              <w:t>拨款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管理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eastAsia="zh-CN" w:bidi="ar"/>
              </w:rPr>
              <w:t>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管理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eastAsia="zh-CN" w:bidi="ar"/>
              </w:rPr>
              <w:t>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 w:val="0"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大专及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bidi="ar"/>
              </w:rPr>
              <w:t>以上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45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0"/>
                <w:sz w:val="20"/>
                <w:szCs w:val="20"/>
                <w:lang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0"/>
                <w:szCs w:val="20"/>
                <w:lang w:val="en-US" w:eastAsia="zh-CN"/>
              </w:rPr>
              <w:t>威远县市场监督管理局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0"/>
                <w:szCs w:val="20"/>
                <w:lang w:val="en-US" w:eastAsia="zh-CN"/>
              </w:rPr>
              <w:t>威远县产品质量检验所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0"/>
                <w:szCs w:val="20"/>
                <w:lang w:val="en-US" w:eastAsia="zh-CN"/>
              </w:rPr>
              <w:t>差额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0"/>
                <w:szCs w:val="20"/>
                <w:lang w:val="en-US" w:eastAsia="zh-Hans"/>
              </w:rPr>
              <w:t>拨款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管理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eastAsia="zh-CN" w:bidi="ar"/>
              </w:rPr>
              <w:t>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管理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eastAsia="zh-CN" w:bidi="ar"/>
              </w:rPr>
              <w:t>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大专及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bidi="ar"/>
              </w:rPr>
              <w:t>以上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45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简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0"/>
                <w:sz w:val="20"/>
                <w:szCs w:val="20"/>
                <w:lang w:eastAsia="zh-CN" w:bidi="ar"/>
              </w:rPr>
            </w:pPr>
          </w:p>
        </w:tc>
      </w:tr>
    </w:tbl>
    <w:p>
      <w:pPr>
        <w:pStyle w:val="8"/>
        <w:spacing w:line="580" w:lineRule="exact"/>
        <w:rPr>
          <w:rFonts w:hint="eastAsia" w:eastAsia="方正仿宋简体"/>
          <w:b/>
          <w:bCs/>
          <w:kern w:val="2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2"/>
          <w:sz w:val="32"/>
          <w:szCs w:val="32"/>
        </w:rPr>
        <w:t>附件</w:t>
      </w:r>
      <w:r>
        <w:rPr>
          <w:rFonts w:hint="eastAsia" w:eastAsia="方正仿宋简体"/>
          <w:b/>
          <w:bCs/>
          <w:kern w:val="2"/>
          <w:sz w:val="32"/>
          <w:szCs w:val="32"/>
        </w:rPr>
        <w:t>1</w:t>
      </w:r>
    </w:p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1587" w:gutter="0"/>
      <w:paperSrc/>
      <w:pgNumType w:fmt="decimal" w:start="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ODg2OTVlMDFlYmQzODMyMzI5YTk4ZTY4MjdkOWMifQ=="/>
  </w:docVars>
  <w:rsids>
    <w:rsidRoot w:val="70142530"/>
    <w:rsid w:val="3C185100"/>
    <w:rsid w:val="7014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4"/>
    <w:pPr>
      <w:ind w:firstLine="200" w:firstLineChars="20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2023-05-23T04:07:00Z</dcterms:created>
  <dc:creator>Administrator</dc:creator>
  <cp:lastModifiedBy>Lance liu</cp:lastModifiedBy>
  <dcterms:modified xsi:type="dcterms:W3CDTF">2023-05-23T05:27:07Z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220148F6D1F8412A9B72540D44599F9E_11</vt:lpwstr>
  </property>
</Properties>
</file>