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蓬溪县公开招聘国有企业高级管理人员职位表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13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07"/>
        <w:gridCol w:w="694"/>
        <w:gridCol w:w="909"/>
        <w:gridCol w:w="580"/>
        <w:gridCol w:w="1050"/>
        <w:gridCol w:w="1077"/>
        <w:gridCol w:w="6000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Header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招聘需求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专业及职称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岗位具体要求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蓬溪博瑞实业有限责任公司副总经理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土木类、建筑类、建设工程管理类或工商管理类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曾在或现任央中央、省、市、县（区）属国企（含二级企业）中层3年以上（含3年）及以上职务，且有从事砂石行业或建筑施工、道路维护管理等工作经验3年以上（含3年）。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87" w:right="2154" w:bottom="1474" w:left="204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highlight w:val="none"/>
          <w:u w:val="none"/>
          <w:lang w:val="en-US" w:eastAsia="zh-CN"/>
        </w:rPr>
        <w:t>蓬溪县公开招聘国有企业一般专业人员职位表</w:t>
      </w:r>
    </w:p>
    <w:tbl>
      <w:tblPr>
        <w:tblStyle w:val="4"/>
        <w:tblpPr w:leftFromText="180" w:rightFromText="180" w:vertAnchor="text" w:horzAnchor="page" w:tblpXSpec="center" w:tblpY="574"/>
        <w:tblOverlap w:val="never"/>
        <w:tblW w:w="14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523"/>
        <w:gridCol w:w="667"/>
        <w:gridCol w:w="388"/>
        <w:gridCol w:w="3575"/>
        <w:gridCol w:w="1055"/>
        <w:gridCol w:w="956"/>
        <w:gridCol w:w="1225"/>
        <w:gridCol w:w="1185"/>
        <w:gridCol w:w="877"/>
        <w:gridCol w:w="1314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Header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企业名称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3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招聘专业</w:t>
            </w:r>
          </w:p>
        </w:tc>
        <w:tc>
          <w:tcPr>
            <w:tcW w:w="5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具体要求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电话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职称/资格证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遂宁市众创实业集团有限公司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会计、财务管理、审计、税务、财政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会计初级职称及以上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蓬溪县守正实业有限责任公司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财政学、税收学、会计学、财务管理、审计学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取得对应学历学位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会计从业资格及以上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蓬溪闰禾农业开发有限责任公司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财政学、会计学、审计学、工商管理、财务管理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四川省金诺商贸有限公司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法律事务、法律文秘、审计学、会计学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蓬溪共创城市建设有限责任公司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工程岗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土木工程、管理科学与工程类、工程管理、工程造价、工程审计、城乡规划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工程类中级职称及以上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蓬溪文旅投资开发有限公司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学前教育、小学教育、现代教育技术、经济学、旅游管理、旅游规划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蓬溪县百帮人力资源有限公司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法学、会计学、会计电算化、财务与会计、人力资源管理、工商管理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highlight w:val="none"/>
              </w:rPr>
              <w:t>具备养老护理中级职称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以上优先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四川省乐乎养老服务有限公司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工商企业管理、行政管理、人力资源管理、护理、社区护理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蓬溪赤源水务投资有限公司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业务岗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给排水工程技术、数控技术、数字化设计与制造技术、水文水资源技术。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Segoe UI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0825-5413629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Segoe UI" w:eastAsia="仿宋_GB2312" w:cs="仿宋_GB2312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587" w:right="2154" w:bottom="1474" w:left="204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0417159D"/>
    <w:rsid w:val="041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2023-06-07T08:04:00Z</dcterms:created>
  <dc:creator>哈哈*^o^*</dc:creator>
  <cp:lastModifiedBy>哈哈*^o^*</cp:lastModifiedBy>
  <dcterms:modified xsi:type="dcterms:W3CDTF">2023-06-07T08:04:34Z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C88CC05E4D204C57821ADF9538D0BC3C_11</vt:lpwstr>
  </property>
</Properties>
</file>