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1"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spacing w:val="-11"/>
          <w:sz w:val="32"/>
          <w:szCs w:val="32"/>
          <w:lang w:val="en-US" w:eastAsia="zh-CN"/>
        </w:rPr>
        <w:t>1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21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1449" w:tblpY="4025"/>
        <w:tblOverlap w:val="never"/>
        <w:tblW w:w="1430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885"/>
        <w:gridCol w:w="1665"/>
        <w:gridCol w:w="1393"/>
        <w:gridCol w:w="1262"/>
        <w:gridCol w:w="1995"/>
        <w:gridCol w:w="57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042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5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证书、职称及要求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绵阳市财政投资评审中心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安装造价工程师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1978年10月31日及以后出生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大学本科及以上学历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工程造价或工程类相关专业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持有一级造价师证书（安装），熟练掌握相应办公、工作软件，拥有工程预结算编制、审核专业工作5年及以上造价工作经历，需提供工作经历证明及成果文件。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绵阳市财政投资评审中心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信息化造价工程师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1978年10月31日及以后出生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大学本科及以上学历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计算机科学与技术、软件工程、电子信息科学与技术</w:t>
            </w:r>
          </w:p>
        </w:tc>
        <w:tc>
          <w:tcPr>
            <w:tcW w:w="5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拥有信息化工程预结算编制、审核专业工作5年及以上工作经历，能熟练计算软件成本、较为熟悉硬件市场价格，需提供工作经历证明及成果文件。持有软件及信息化行业相关证书者优先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绵阳市财政投资评审中心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财务评审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1978年10月31日及以后出生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大学本科及以上学历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会计学、审计学、财务管理</w:t>
            </w:r>
          </w:p>
        </w:tc>
        <w:tc>
          <w:tcPr>
            <w:tcW w:w="5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持有注册会计师、资产评估师、税务师等执业资格证书，熟练掌握相应办公、工作软件，拥有5年及以上施工企业工作经历，需提供工作经历证明及成果文件。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绵阳市财政投资评审中心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1993年10月31日及以后出生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大学本科及以上学历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5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熟练掌握相应办公、工作软件，拥有3年及以上相关工作经历，需提供工作经历证明及成果文件。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绵阳市财政投资评审中心公开招聘编制外评审人员资格条件一览表</w:t>
      </w:r>
    </w:p>
    <w:p>
      <w:pPr>
        <w:pStyle w:val="3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绵阳市财政投资评审中心公开招聘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编制外工作人员报名表</w:t>
      </w:r>
    </w:p>
    <w:p>
      <w:pPr>
        <w:snapToGrid w:val="0"/>
        <w:spacing w:line="460" w:lineRule="exact"/>
        <w:jc w:val="both"/>
        <w:rPr>
          <w:rFonts w:asciiTheme="minorHAnsi" w:hAnsiTheme="minorHAnsi" w:eastAsiaTheme="minorEastAsia" w:cstheme="minorBidi"/>
          <w:sz w:val="21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5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64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307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ZhZjc5ZWQ1ZDEyZmQwMTIwMmU3MGRhZTZkOWUifQ=="/>
  </w:docVars>
  <w:rsids>
    <w:rsidRoot w:val="1A0A4961"/>
    <w:rsid w:val="1A0A4961"/>
    <w:rsid w:val="4F8B6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4"/>
    <w:next w:val="1"/>
    <w:unhideWhenUsed/>
    <w:qFormat/>
    <w:uiPriority w:val="0"/>
    <w:pPr>
      <w:keepNext/>
      <w:keepLines/>
      <w:widowControl w:val="0"/>
      <w:spacing w:before="280" w:beforeLines="0" w:beforeAutospacing="0" w:after="290" w:afterLines="0" w:afterAutospacing="0" w:line="372" w:lineRule="auto"/>
      <w:jc w:val="both"/>
      <w:outlineLvl w:val="3"/>
    </w:pPr>
    <w:rPr>
      <w:rFonts w:ascii="Arial" w:hAnsi="Arial" w:eastAsia="黑体" w:cstheme="minorBidi"/>
      <w:b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ind w:left="107"/>
      <w:jc w:val="left"/>
    </w:pPr>
    <w:rPr>
      <w:rFonts w:ascii="仿宋_GB2312" w:hAnsi="Times New Roman" w:eastAsia="仿宋_GB2312" w:cs="Times New Roman"/>
      <w:kern w:val="0"/>
      <w:sz w:val="32"/>
      <w:szCs w:val="32"/>
      <w:lang w:val="en-US" w:eastAsia="en-US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2023-11-06T08:42:00Z</dcterms:created>
  <dc:creator>小调江湖</dc:creator>
  <cp:lastModifiedBy>小调江湖</cp:lastModifiedBy>
  <dcterms:modified xsi:type="dcterms:W3CDTF">2023-11-06T09:11:36Z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872E12A494E14A48B902A678AF6656FB_11</vt:lpwstr>
  </property>
</Properties>
</file>