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F5719">
      <w:pPr>
        <w:spacing w:line="520" w:lineRule="exact"/>
        <w:rPr>
          <w:rFonts w:hint="eastAsia" w:ascii="黑体" w:hAnsi="黑体" w:eastAsia="黑体" w:cs="黑体"/>
          <w:color w:val="auto"/>
          <w:spacing w:val="-6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pacing w:val="-6"/>
          <w:sz w:val="28"/>
          <w:szCs w:val="28"/>
        </w:rPr>
        <w:t>附件1</w:t>
      </w:r>
    </w:p>
    <w:p w14:paraId="407EBF81">
      <w:pPr>
        <w:spacing w:line="560" w:lineRule="exact"/>
        <w:ind w:firstLine="696" w:firstLineChars="200"/>
        <w:jc w:val="center"/>
        <w:rPr>
          <w:rFonts w:hint="eastAsia" w:ascii="黑体" w:eastAsia="黑体" w:cs="宋体"/>
          <w:color w:val="auto"/>
          <w:spacing w:val="-6"/>
          <w:sz w:val="36"/>
          <w:szCs w:val="36"/>
          <w:highlight w:val="none"/>
          <w:u w:val="single"/>
        </w:rPr>
      </w:pPr>
      <w:r>
        <w:rPr>
          <w:rFonts w:hint="eastAsia" w:ascii="黑体" w:eastAsia="黑体" w:cs="宋体"/>
          <w:color w:val="auto"/>
          <w:spacing w:val="-6"/>
          <w:sz w:val="36"/>
          <w:szCs w:val="36"/>
          <w:highlight w:val="none"/>
          <w:lang w:eastAsia="zh-CN"/>
        </w:rPr>
        <w:t>国家税务总局</w:t>
      </w:r>
      <w:r>
        <w:rPr>
          <w:rFonts w:hint="eastAsia" w:ascii="黑体" w:eastAsia="黑体" w:cs="宋体"/>
          <w:color w:val="auto"/>
          <w:spacing w:val="-6"/>
          <w:sz w:val="36"/>
          <w:szCs w:val="36"/>
          <w:highlight w:val="none"/>
        </w:rPr>
        <w:t>四川省</w:t>
      </w:r>
      <w:r>
        <w:rPr>
          <w:rFonts w:hint="eastAsia" w:ascii="黑体" w:eastAsia="黑体" w:cs="宋体"/>
          <w:color w:val="auto"/>
          <w:spacing w:val="-6"/>
          <w:sz w:val="36"/>
          <w:szCs w:val="36"/>
          <w:highlight w:val="none"/>
          <w:lang w:eastAsia="zh-CN"/>
        </w:rPr>
        <w:t>税务局</w:t>
      </w:r>
      <w:r>
        <w:rPr>
          <w:rFonts w:hint="eastAsia" w:ascii="黑体" w:eastAsia="黑体" w:cs="宋体"/>
          <w:color w:val="auto"/>
          <w:spacing w:val="-6"/>
          <w:sz w:val="36"/>
          <w:szCs w:val="36"/>
          <w:highlight w:val="none"/>
        </w:rPr>
        <w:t>下属事业单位</w:t>
      </w:r>
    </w:p>
    <w:p w14:paraId="4AB6F031">
      <w:pPr>
        <w:spacing w:line="520" w:lineRule="exact"/>
        <w:jc w:val="center"/>
        <w:rPr>
          <w:rFonts w:hint="eastAsia" w:ascii="黑体" w:eastAsia="黑体" w:cs="宋体"/>
          <w:color w:val="auto"/>
          <w:spacing w:val="-6"/>
          <w:sz w:val="36"/>
          <w:szCs w:val="36"/>
          <w:highlight w:val="none"/>
        </w:rPr>
      </w:pPr>
      <w:r>
        <w:rPr>
          <w:rFonts w:hint="eastAsia" w:ascii="黑体" w:eastAsia="黑体" w:cs="宋体"/>
          <w:color w:val="auto"/>
          <w:spacing w:val="-6"/>
          <w:sz w:val="36"/>
          <w:szCs w:val="36"/>
          <w:highlight w:val="none"/>
        </w:rPr>
        <w:t>2025年</w:t>
      </w:r>
      <w:r>
        <w:rPr>
          <w:rFonts w:hint="eastAsia" w:ascii="黑体" w:eastAsia="黑体" w:cs="宋体"/>
          <w:color w:val="auto"/>
          <w:spacing w:val="-6"/>
          <w:sz w:val="36"/>
          <w:szCs w:val="36"/>
          <w:highlight w:val="none"/>
          <w:lang w:eastAsia="zh-CN"/>
        </w:rPr>
        <w:t>下</w:t>
      </w:r>
      <w:r>
        <w:rPr>
          <w:rFonts w:hint="eastAsia" w:ascii="黑体" w:eastAsia="黑体" w:cs="宋体"/>
          <w:color w:val="auto"/>
          <w:spacing w:val="-6"/>
          <w:sz w:val="36"/>
          <w:szCs w:val="36"/>
          <w:highlight w:val="none"/>
        </w:rPr>
        <w:t>半年公开招聘工作人员岗位和条件要求一览表</w:t>
      </w:r>
    </w:p>
    <w:p w14:paraId="0FC96B30">
      <w:pPr>
        <w:spacing w:line="240" w:lineRule="exact"/>
        <w:jc w:val="center"/>
        <w:rPr>
          <w:rFonts w:hint="eastAsia" w:ascii="黑体" w:eastAsia="黑体" w:cs="宋体"/>
          <w:color w:val="auto"/>
          <w:sz w:val="28"/>
          <w:szCs w:val="28"/>
          <w:shd w:val="pct10" w:color="auto" w:fill="FFFFFF"/>
        </w:rPr>
      </w:pPr>
    </w:p>
    <w:tbl>
      <w:tblPr>
        <w:tblStyle w:val="2"/>
        <w:tblW w:w="148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795"/>
        <w:gridCol w:w="891"/>
        <w:gridCol w:w="729"/>
        <w:gridCol w:w="570"/>
        <w:gridCol w:w="993"/>
        <w:gridCol w:w="1107"/>
        <w:gridCol w:w="1098"/>
        <w:gridCol w:w="630"/>
        <w:gridCol w:w="1197"/>
        <w:gridCol w:w="1515"/>
        <w:gridCol w:w="1140"/>
        <w:gridCol w:w="1275"/>
        <w:gridCol w:w="1129"/>
      </w:tblGrid>
      <w:tr w14:paraId="62CAA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FBC86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招聘单位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993C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招聘岗位</w:t>
            </w:r>
          </w:p>
        </w:tc>
        <w:tc>
          <w:tcPr>
            <w:tcW w:w="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A66B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岗位</w:t>
            </w:r>
          </w:p>
          <w:p w14:paraId="1D19E0F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编码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C50E06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招聘人数</w:t>
            </w:r>
          </w:p>
        </w:tc>
        <w:tc>
          <w:tcPr>
            <w:tcW w:w="3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2B89D0">
            <w:pPr>
              <w:ind w:left="29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其他条件要求</w:t>
            </w:r>
          </w:p>
        </w:tc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6873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笔试</w:t>
            </w:r>
          </w:p>
          <w:p w14:paraId="41B8CAA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开考比例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27CD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公共科目</w:t>
            </w:r>
          </w:p>
          <w:p w14:paraId="5580AF7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笔试名称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FB39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专业笔试名称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3388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面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试</w:t>
            </w:r>
          </w:p>
          <w:p w14:paraId="4A5BDA1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入围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比例</w:t>
            </w:r>
          </w:p>
        </w:tc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BE7A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备注</w:t>
            </w:r>
          </w:p>
        </w:tc>
      </w:tr>
      <w:tr w14:paraId="6DAF3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26C2EB"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56051C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岗位</w:t>
            </w:r>
          </w:p>
          <w:p w14:paraId="6F41628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178A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岗位</w:t>
            </w:r>
          </w:p>
          <w:p w14:paraId="36F6C11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A5620"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8F94A"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F30C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FCD4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学历</w:t>
            </w:r>
          </w:p>
          <w:p w14:paraId="717F092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或学位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DFFDE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专业条件要求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726B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其他</w:t>
            </w:r>
          </w:p>
        </w:tc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6EF6D"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7C630"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B5D04"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9E7FF"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</w:pPr>
          </w:p>
        </w:tc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8B023"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</w:pPr>
          </w:p>
        </w:tc>
      </w:tr>
      <w:tr w14:paraId="73A88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205A4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四川省税务干部学校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296D08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专业技术岗位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75D9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财会教学岗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DF58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200098001001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0630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03F3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1983年10月13日及以后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061D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硕士研究生及以上学历并取得相应学位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2214F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研究生：会计1253；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工商管理学1202；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审计1257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5C59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6A61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3:1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A3C8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《公共基础知识》和《综合能力测试》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6AFE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15CC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3：1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788E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应届高校毕业生，应以取得的最高学历对应的专业报考。</w:t>
            </w:r>
          </w:p>
        </w:tc>
      </w:tr>
      <w:tr w14:paraId="23DFF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1A4AC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四川省税务干部学校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B1E1A6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专业技术岗位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AD98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税收教学岗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29EEC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200098001002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BA81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DD12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1986年10月13日及以后，其中应届硕士、博士研究生放宽到1983年10月13日及以后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B648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硕士研究生及以上学历并取得相应学位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8C35E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研究生：理论经济学0201；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应用经济学0202；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税务0253；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金融0251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4C61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61EB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3:1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E2B5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《公共基础知识》和《综合能力测试》》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F340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D667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3：1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EE52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应届高校毕业生和社会人员均可报名，应以取得的最高学历对应的专业报考。</w:t>
            </w:r>
          </w:p>
        </w:tc>
      </w:tr>
      <w:tr w14:paraId="50960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133B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四川省税务干部学校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13E1DD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专业技术岗位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EA60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法律教学岗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DEB4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200098001003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9617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3249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1983年10月13日及以后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30D5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硕士研究生及以上学历并取得相应学位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9F8E7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研究生：法学0301；</w:t>
            </w:r>
          </w:p>
          <w:p w14:paraId="38947B9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法律0351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028F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B629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3:1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69D0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《公共基础知识》和《综合能力测试》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9E4C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E682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3：1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4990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应届高校毕业生，应以取得的最高学历对应的专业报考。</w:t>
            </w:r>
          </w:p>
        </w:tc>
      </w:tr>
      <w:tr w14:paraId="20C0F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0579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四川省税务干部学校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2E0BA0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专业技术岗位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3012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经济学教学岗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E2EA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200098001004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5FFF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9429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1983年10月13日及以后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46A1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博士研究生学历并取得相应学位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10AE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研究生：理论经济学0201；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应用经济学0202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83C4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223F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3:1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01EA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《公共基础知识》和《综合能力测试》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19A5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3F2E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3：1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76F5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应届高校毕业生，应以取得的最高学历对应的专业报考。</w:t>
            </w:r>
          </w:p>
        </w:tc>
      </w:tr>
      <w:tr w14:paraId="55347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1241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四川省税务干部学校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01F818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专业技术岗位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28B1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党建教学岗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F29D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200098001005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BC2A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2091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1983年10月13日及以后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E940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博士研究生学历并取得相应学位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4A2E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研究生：政治学0302；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马克思主义理论0305；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中共党史党建学0307；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BB0D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B056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3:1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EEF5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《公共基础知识》和《综合能力测试》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BC21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CD32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3：1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39BF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应届高校毕业生，应以取得的最高学历对应的专业报考。</w:t>
            </w:r>
          </w:p>
        </w:tc>
      </w:tr>
      <w:tr w14:paraId="07D13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A1C6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国家税务总局四川省税务局信息中心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EFFB26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事业管理岗位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F607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安全岗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E59E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200098002006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ADE7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4CD0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1983年10月13日及以后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E8DA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硕士研究生及以上学历并取得相应学位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8841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研究生：电子科学与技术0809；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信息与通信工程0810；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计算机科学与技术0812；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软件工程0835；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网络空间安全0839；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电子信息0854；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密码学1452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C05B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37C9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3：1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F097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《公共基础知识》和《综合能力测试》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7A93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0F1E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3：1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2C81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应届高校毕业生，应以取得的最高学历对应的专业报考。</w:t>
            </w:r>
          </w:p>
        </w:tc>
      </w:tr>
      <w:tr w14:paraId="13BC0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A6AB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国家税务总局四川省税务局信息中心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3E2C02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事业管理岗位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10B7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运维岗（一）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98E0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200098002007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AAB6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0296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1986年10月13日及以后，其中应届硕士、博士研究生放宽到1983年10月13日及以后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394F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大学本科及以上学历并取得相应学位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AE65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本科：电子信息类0807；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计算机类0809</w:t>
            </w:r>
          </w:p>
          <w:p w14:paraId="137A08B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研究生：电子科学与技术0809；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计算机科学与技术0812；</w:t>
            </w:r>
          </w:p>
          <w:p w14:paraId="11FF96B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电子信息0854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FBCB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1F66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3:1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8B51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《公共基础知识》和《综合能力测试》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6690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725B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3：1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A9B4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应届高校毕业生，应以取得的最高学历对应的专业报考。</w:t>
            </w:r>
          </w:p>
        </w:tc>
      </w:tr>
      <w:tr w14:paraId="55193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E296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国家税务总局四川省税务局信息中心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74D08A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事业管理岗位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926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运维岗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（二）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FC80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200098002008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C891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4076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1986年10月13日及以后，其中应届硕士、博士研究生放宽到1983年10月13日及以后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188F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大学本科及以上学历并取得相应学位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75CB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本科：电子信息类0807；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计算机类0809</w:t>
            </w:r>
          </w:p>
          <w:p w14:paraId="4B650E4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研究生：电子科学与技术0809；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计算机科学与技术0812；</w:t>
            </w:r>
          </w:p>
          <w:p w14:paraId="06E489E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电子信息0854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43F6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F23C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3:1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31F5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《公共基础知识》和《综合能力测试》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9252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EC19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3：1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7772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2年以上（含）相关工作经验，应以取得的最高学历对应的专业报考。</w:t>
            </w:r>
          </w:p>
        </w:tc>
      </w:tr>
      <w:tr w14:paraId="351D1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8C85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国家税务总局成都市税务局信息中心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D2FE4D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事业管理岗位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7AE3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安全岗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A6FA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200098003009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6B6D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7C45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1983年10月13日及以后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DA02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硕士研究生及以上学历并取得相应学位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91C7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研究生：电子科学与技术0809；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信息与通信工程0810；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计算机科学与技术0812；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软件工程0835；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网络空间安全0839；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电子信息0854；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密码学1452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54E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E5FA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3:1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E180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《公共基础知识》和《综合能力测试》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D6F5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EFC6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3：1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F4AB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应届高校毕业生，应以取得的最高学历对应的专业报考。</w:t>
            </w:r>
          </w:p>
        </w:tc>
      </w:tr>
      <w:tr w14:paraId="3E09E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6282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国家税务总局成都市税务局信息中心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BA8AF5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事业管理岗位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3323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运维岗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284D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200098003010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7A24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669F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1986年10月13日及以后，其中应届硕士、博士研究生放宽到1983年10月13日及以后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EA75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大学本科及以上学历并取得相应学位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E6B7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本科：电子信息类0807；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计算机类0809</w:t>
            </w:r>
          </w:p>
          <w:p w14:paraId="5B08188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研究生：电子科学与技术0809；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计算机科学与技术0812；</w:t>
            </w:r>
          </w:p>
          <w:p w14:paraId="324F37B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电子信息0854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2F801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8603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3:1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65DE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《公共基础知识》和《综合能力测试》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A27F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7CD9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3：1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7BD8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应届高校毕业生，应以取得的最高学历对应的专业报考。</w:t>
            </w:r>
          </w:p>
        </w:tc>
      </w:tr>
    </w:tbl>
    <w:p w14:paraId="271C28B7">
      <w:pPr>
        <w:spacing w:line="240" w:lineRule="exact"/>
        <w:rPr>
          <w:rFonts w:hint="eastAsia" w:ascii="楷体_GB2312" w:eastAsia="楷体_GB2312"/>
          <w:color w:val="auto"/>
          <w:sz w:val="24"/>
          <w:szCs w:val="24"/>
        </w:rPr>
      </w:pPr>
    </w:p>
    <w:p w14:paraId="7960BC8F">
      <w:pPr>
        <w:rPr>
          <w:rFonts w:hint="eastAsia" w:ascii="楷体_GB2312" w:eastAsia="楷体_GB2312"/>
          <w:color w:val="auto"/>
          <w:sz w:val="24"/>
          <w:szCs w:val="24"/>
          <w:lang w:eastAsia="zh-CN"/>
        </w:rPr>
      </w:pPr>
      <w:r>
        <w:rPr>
          <w:rFonts w:hint="eastAsia" w:ascii="楷体_GB2312" w:eastAsia="楷体_GB2312"/>
          <w:color w:val="auto"/>
          <w:sz w:val="24"/>
          <w:szCs w:val="24"/>
        </w:rPr>
        <w:t>注：本表各岗位相关的其他条件及要求请见本公告正文</w:t>
      </w:r>
      <w:r>
        <w:rPr>
          <w:rFonts w:hint="eastAsia" w:ascii="楷体_GB2312" w:eastAsia="楷体_GB2312"/>
          <w:color w:val="auto"/>
          <w:sz w:val="24"/>
          <w:szCs w:val="24"/>
          <w:lang w:eastAsia="zh-CN"/>
        </w:rPr>
        <w:t>。</w:t>
      </w:r>
    </w:p>
    <w:p w14:paraId="60CDA3FC">
      <w:pPr>
        <w:numPr>
          <w:ilvl w:val="0"/>
          <w:numId w:val="0"/>
        </w:numPr>
        <w:ind w:firstLine="480" w:firstLineChars="200"/>
        <w:rPr>
          <w:rFonts w:hint="eastAsia" w:ascii="楷体_GB2312" w:eastAsia="楷体_GB2312"/>
          <w:color w:val="auto"/>
          <w:sz w:val="24"/>
          <w:szCs w:val="24"/>
          <w:lang w:val="en-US" w:eastAsia="zh-CN"/>
        </w:rPr>
      </w:pPr>
    </w:p>
    <w:p w14:paraId="51A12AD0">
      <w:pPr>
        <w:numPr>
          <w:ilvl w:val="0"/>
          <w:numId w:val="0"/>
        </w:numPr>
        <w:ind w:firstLine="480" w:firstLineChars="200"/>
        <w:rPr>
          <w:rFonts w:hint="eastAsia" w:ascii="楷体_GB2312" w:eastAsia="楷体_GB2312"/>
          <w:color w:val="auto"/>
          <w:sz w:val="24"/>
          <w:szCs w:val="24"/>
          <w:lang w:val="en-US" w:eastAsia="zh-CN"/>
        </w:rPr>
      </w:pPr>
    </w:p>
    <w:p w14:paraId="0B6D60A3">
      <w:pPr>
        <w:rPr>
          <w:color w:val="auto"/>
        </w:rPr>
      </w:pPr>
    </w:p>
    <w:p w14:paraId="51C7C6EB">
      <w:pPr>
        <w:rPr>
          <w:color w:val="auto"/>
        </w:rPr>
      </w:pPr>
    </w:p>
    <w:p w14:paraId="762A4A1F">
      <w:pPr>
        <w:ind w:firstLine="480" w:firstLineChars="200"/>
        <w:rPr>
          <w:rFonts w:hint="default" w:ascii="楷体_GB2312" w:eastAsia="楷体_GB2312"/>
          <w:color w:val="auto"/>
          <w:sz w:val="24"/>
          <w:szCs w:val="24"/>
          <w:lang w:val="en-US" w:eastAsia="zh-CN"/>
        </w:rPr>
      </w:pPr>
    </w:p>
    <w:p w14:paraId="6437273D">
      <w:pPr>
        <w:numPr>
          <w:ilvl w:val="0"/>
          <w:numId w:val="0"/>
        </w:numPr>
        <w:ind w:firstLine="480" w:firstLineChars="200"/>
        <w:rPr>
          <w:rFonts w:hint="eastAsia" w:ascii="楷体_GB2312" w:eastAsia="楷体_GB2312"/>
          <w:color w:val="auto"/>
          <w:sz w:val="24"/>
          <w:szCs w:val="24"/>
          <w:lang w:val="en-US" w:eastAsia="zh-CN"/>
        </w:rPr>
      </w:pPr>
    </w:p>
    <w:p w14:paraId="629E6E4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72154FF2"/>
    <w:rsid w:val="7215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2025-09-25T09:24:00Z</dcterms:created>
  <dc:creator>晨昏线</dc:creator>
  <cp:lastModifiedBy>晨昏线</cp:lastModifiedBy>
  <dcterms:modified xsi:type="dcterms:W3CDTF">2025-09-25T09:25:09Z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B88414F05C63403DAF43BE8A79AEFE37_11</vt:lpwstr>
  </property>
</Properties>
</file>