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0" w:leftChars="-200" w:right="-542" w:rightChars="-258" w:firstLine="642" w:firstLineChars="200"/>
        <w:jc w:val="left"/>
        <w:textAlignment w:val="auto"/>
        <w:rPr>
          <w:rFonts w:hint="default" w:ascii="Times New Roman" w:hAnsi="Times New Roman" w:eastAsia="方正黑体_GBK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kern w:val="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cs="Times New Roman"/>
          <w:b/>
          <w:bCs w:val="0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2025年度引才需求信息表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3441"/>
        <w:gridCol w:w="1628"/>
        <w:gridCol w:w="1134"/>
        <w:gridCol w:w="1713"/>
        <w:gridCol w:w="1062"/>
        <w:gridCol w:w="138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职务职称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需求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引进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提供薪酬、生活待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心理治疗师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心理学040200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发展与教育心理学040202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心理健康教育045116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初级心理治疗师及以上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硕士研究生及以上学历且取得相应学位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年龄35周岁及以下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13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</w:rPr>
              <w:t>编制内引进</w:t>
            </w:r>
          </w:p>
        </w:tc>
        <w:tc>
          <w:tcPr>
            <w:tcW w:w="21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</w:tbl>
    <w:p>
      <w:pPr>
        <w:pStyle w:val="2"/>
        <w:tabs>
          <w:tab w:val="left" w:pos="2250"/>
        </w:tabs>
        <w:ind w:firstLine="643"/>
        <w:rPr>
          <w:rFonts w:hint="default" w:ascii="Times New Roman" w:hAnsi="Times New Roman" w:cs="Times New Roman"/>
        </w:rPr>
        <w:sectPr>
          <w:pgSz w:w="16838" w:h="11906" w:orient="landscape"/>
          <w:pgMar w:top="1531" w:right="1417" w:bottom="1474" w:left="1417" w:header="851" w:footer="1247" w:gutter="0"/>
          <w:cols w:space="720" w:num="1"/>
          <w:docGrid w:linePitch="597" w:charSpace="0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b/>
          <w:bCs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000000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000000"/>
          <w:w w:val="96"/>
          <w:sz w:val="44"/>
          <w:szCs w:val="44"/>
        </w:rPr>
        <w:t>四川省南充市2025年度引进高层次人才报名表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871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F1E88"/>
    <w:rsid w:val="3AB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spacing w:after="120" w:line="574" w:lineRule="exact"/>
      <w:ind w:left="0"/>
      <w:jc w:val="both"/>
    </w:pPr>
    <w:rPr>
      <w:rFonts w:ascii="Calibri" w:hAnsi="Calibri" w:eastAsia="微软雅黑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2025-11-10T14:41:00Z</dcterms:created>
  <dc:creator>uos</dc:creator>
  <cp:lastModifiedBy>uos</cp:lastModifiedBy>
  <dcterms:modified xsi:type="dcterms:W3CDTF">2025-11-10T14:42:06Z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