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B734F">
      <w:pPr>
        <w:spacing w:before="58" w:line="230" w:lineRule="auto"/>
        <w:rPr>
          <w:rFonts w:hint="default" w:ascii="Times New Roman" w:hAnsi="Times New Roman" w:eastAsia="黑体" w:cs="Times New Roman"/>
          <w:color w:val="auto"/>
          <w:spacing w:val="-1"/>
          <w:sz w:val="28"/>
          <w:szCs w:val="28"/>
          <w:lang w:val="en-US" w:eastAsia="zh-CN"/>
        </w:rPr>
      </w:pPr>
      <w:r>
        <w:rPr>
          <w:rFonts w:ascii="黑体" w:hAnsi="黑体" w:eastAsia="黑体" w:cs="黑体"/>
          <w:color w:val="auto"/>
          <w:spacing w:val="-1"/>
          <w:sz w:val="28"/>
          <w:szCs w:val="28"/>
        </w:rPr>
        <w:t>附件</w:t>
      </w:r>
      <w:r>
        <w:rPr>
          <w:rFonts w:hint="default" w:ascii="Times New Roman" w:hAnsi="Times New Roman" w:eastAsia="黑体" w:cs="Times New Roman"/>
          <w:color w:val="auto"/>
          <w:spacing w:val="-1"/>
          <w:sz w:val="28"/>
          <w:szCs w:val="28"/>
          <w:lang w:val="en-US" w:eastAsia="zh-CN"/>
        </w:rPr>
        <w:t>2</w:t>
      </w:r>
    </w:p>
    <w:p w14:paraId="44BB043E">
      <w:pPr>
        <w:spacing w:before="58" w:line="230" w:lineRule="auto"/>
        <w:jc w:val="center"/>
        <w:rPr>
          <w:rFonts w:hint="default" w:ascii="Times New Roman" w:hAnsi="Times New Roman" w:eastAsia="方正小标宋简体" w:cs="Times New Roman"/>
          <w:color w:val="auto"/>
          <w:spacing w:val="1"/>
          <w:sz w:val="44"/>
          <w:szCs w:val="44"/>
        </w:rPr>
      </w:pPr>
      <w:r>
        <w:rPr>
          <w:rFonts w:hint="default" w:ascii="Times New Roman" w:hAnsi="Times New Roman" w:eastAsia="方正小标宋简体" w:cs="Times New Roman"/>
          <w:color w:val="auto"/>
          <w:spacing w:val="1"/>
          <w:sz w:val="44"/>
          <w:szCs w:val="44"/>
          <w:lang w:val="en-US" w:eastAsia="zh-CN"/>
        </w:rPr>
        <w:t>自贡创新发展投资集团有限</w:t>
      </w:r>
      <w:r>
        <w:rPr>
          <w:rFonts w:hint="default" w:ascii="Times New Roman" w:hAnsi="Times New Roman" w:eastAsia="方正小标宋简体" w:cs="Times New Roman"/>
          <w:color w:val="auto"/>
          <w:spacing w:val="1"/>
          <w:sz w:val="44"/>
          <w:szCs w:val="44"/>
        </w:rPr>
        <w:t>公司202</w:t>
      </w:r>
      <w:r>
        <w:rPr>
          <w:rFonts w:hint="default" w:ascii="Times New Roman" w:hAnsi="Times New Roman" w:eastAsia="方正小标宋简体" w:cs="Times New Roman"/>
          <w:color w:val="auto"/>
          <w:spacing w:val="1"/>
          <w:sz w:val="44"/>
          <w:szCs w:val="44"/>
          <w:lang w:val="en-US" w:eastAsia="zh-CN"/>
        </w:rPr>
        <w:t>6</w:t>
      </w:r>
      <w:r>
        <w:rPr>
          <w:rFonts w:hint="default" w:ascii="Times New Roman" w:hAnsi="Times New Roman" w:eastAsia="方正小标宋简体" w:cs="Times New Roman"/>
          <w:color w:val="auto"/>
          <w:spacing w:val="1"/>
          <w:sz w:val="44"/>
          <w:szCs w:val="44"/>
        </w:rPr>
        <w:t>年</w:t>
      </w:r>
      <w:r>
        <w:rPr>
          <w:rFonts w:hint="default" w:ascii="Times New Roman" w:hAnsi="Times New Roman" w:eastAsia="方正小标宋简体" w:cs="Times New Roman"/>
          <w:color w:val="auto"/>
          <w:spacing w:val="1"/>
          <w:sz w:val="44"/>
          <w:szCs w:val="44"/>
          <w:lang w:val="en-US" w:eastAsia="zh-CN"/>
        </w:rPr>
        <w:t>第二次公开</w:t>
      </w:r>
      <w:r>
        <w:rPr>
          <w:rFonts w:hint="default" w:ascii="Times New Roman" w:hAnsi="Times New Roman" w:eastAsia="方正小标宋简体" w:cs="Times New Roman"/>
          <w:color w:val="auto"/>
          <w:spacing w:val="1"/>
          <w:sz w:val="44"/>
          <w:szCs w:val="44"/>
        </w:rPr>
        <w:t>招聘岗位汇总表</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27"/>
        <w:gridCol w:w="763"/>
        <w:gridCol w:w="731"/>
        <w:gridCol w:w="947"/>
        <w:gridCol w:w="4786"/>
        <w:gridCol w:w="1570"/>
        <w:gridCol w:w="1574"/>
        <w:gridCol w:w="2070"/>
        <w:gridCol w:w="5306"/>
        <w:gridCol w:w="1695"/>
      </w:tblGrid>
      <w:tr w14:paraId="40F5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noWrap w:val="0"/>
            <w:tcMar>
              <w:top w:w="120" w:type="dxa"/>
              <w:left w:w="120" w:type="dxa"/>
              <w:bottom w:w="120" w:type="dxa"/>
              <w:right w:w="120" w:type="dxa"/>
            </w:tcMar>
            <w:vAlign w:val="center"/>
          </w:tcPr>
          <w:p w14:paraId="015D088C">
            <w:pPr>
              <w:keepNext w:val="0"/>
              <w:keepLines w:val="0"/>
              <w:widowControl/>
              <w:suppressLineNumbers w:val="0"/>
              <w:jc w:val="center"/>
              <w:rPr>
                <w:rFonts w:hint="eastAsia" w:ascii="黑体" w:hAnsi="黑体" w:eastAsia="黑体" w:cs="黑体"/>
                <w:b w:val="0"/>
                <w:bCs w:val="0"/>
                <w:sz w:val="22"/>
                <w:szCs w:val="22"/>
              </w:rPr>
            </w:pPr>
            <w:r>
              <w:rPr>
                <w:rFonts w:hint="eastAsia" w:ascii="黑体" w:hAnsi="黑体" w:eastAsia="黑体" w:cs="黑体"/>
                <w:b w:val="0"/>
                <w:bCs w:val="0"/>
                <w:kern w:val="0"/>
                <w:sz w:val="22"/>
                <w:szCs w:val="22"/>
                <w:lang w:val="en-US" w:eastAsia="zh-CN" w:bidi="ar"/>
              </w:rPr>
              <w:t>序号</w:t>
            </w:r>
          </w:p>
        </w:tc>
        <w:tc>
          <w:tcPr>
            <w:tcW w:w="0" w:type="auto"/>
            <w:noWrap w:val="0"/>
            <w:tcMar>
              <w:top w:w="120" w:type="dxa"/>
              <w:left w:w="120" w:type="dxa"/>
              <w:bottom w:w="120" w:type="dxa"/>
              <w:right w:w="120" w:type="dxa"/>
            </w:tcMar>
            <w:vAlign w:val="center"/>
          </w:tcPr>
          <w:p w14:paraId="15B223BC">
            <w:pPr>
              <w:keepNext w:val="0"/>
              <w:keepLines w:val="0"/>
              <w:widowControl/>
              <w:suppressLineNumbers w:val="0"/>
              <w:jc w:val="center"/>
              <w:rPr>
                <w:rFonts w:hint="eastAsia" w:ascii="黑体" w:hAnsi="黑体" w:eastAsia="黑体" w:cs="黑体"/>
                <w:b w:val="0"/>
                <w:bCs w:val="0"/>
                <w:sz w:val="22"/>
                <w:szCs w:val="22"/>
              </w:rPr>
            </w:pPr>
            <w:r>
              <w:rPr>
                <w:rFonts w:hint="eastAsia" w:ascii="黑体" w:hAnsi="黑体" w:eastAsia="黑体" w:cs="黑体"/>
                <w:b w:val="0"/>
                <w:bCs w:val="0"/>
                <w:kern w:val="0"/>
                <w:sz w:val="22"/>
                <w:szCs w:val="22"/>
                <w:lang w:val="en-US" w:eastAsia="zh-CN" w:bidi="ar"/>
              </w:rPr>
              <w:t>招聘部门</w:t>
            </w:r>
          </w:p>
        </w:tc>
        <w:tc>
          <w:tcPr>
            <w:tcW w:w="183" w:type="pct"/>
            <w:noWrap w:val="0"/>
            <w:tcMar>
              <w:top w:w="120" w:type="dxa"/>
              <w:left w:w="120" w:type="dxa"/>
              <w:bottom w:w="120" w:type="dxa"/>
              <w:right w:w="120" w:type="dxa"/>
            </w:tcMar>
            <w:vAlign w:val="center"/>
          </w:tcPr>
          <w:p w14:paraId="7C5825E0">
            <w:pPr>
              <w:keepNext w:val="0"/>
              <w:keepLines w:val="0"/>
              <w:widowControl/>
              <w:suppressLineNumbers w:val="0"/>
              <w:jc w:val="center"/>
              <w:rPr>
                <w:rFonts w:hint="eastAsia" w:ascii="黑体" w:hAnsi="黑体" w:eastAsia="黑体" w:cs="黑体"/>
                <w:b w:val="0"/>
                <w:bCs w:val="0"/>
                <w:sz w:val="22"/>
                <w:szCs w:val="22"/>
              </w:rPr>
            </w:pPr>
            <w:r>
              <w:rPr>
                <w:rFonts w:hint="eastAsia" w:ascii="黑体" w:hAnsi="黑体" w:eastAsia="黑体" w:cs="黑体"/>
                <w:b w:val="0"/>
                <w:bCs w:val="0"/>
                <w:kern w:val="0"/>
                <w:sz w:val="22"/>
                <w:szCs w:val="22"/>
                <w:lang w:val="en-US" w:eastAsia="zh-CN" w:bidi="ar"/>
              </w:rPr>
              <w:t>招聘岗位</w:t>
            </w:r>
          </w:p>
        </w:tc>
        <w:tc>
          <w:tcPr>
            <w:tcW w:w="237" w:type="pct"/>
            <w:noWrap w:val="0"/>
            <w:tcMar>
              <w:top w:w="120" w:type="dxa"/>
              <w:left w:w="120" w:type="dxa"/>
              <w:bottom w:w="120" w:type="dxa"/>
              <w:right w:w="120" w:type="dxa"/>
            </w:tcMar>
            <w:vAlign w:val="center"/>
          </w:tcPr>
          <w:p w14:paraId="39BC038E">
            <w:pPr>
              <w:keepNext w:val="0"/>
              <w:keepLines w:val="0"/>
              <w:widowControl/>
              <w:suppressLineNumbers w:val="0"/>
              <w:jc w:val="center"/>
              <w:rPr>
                <w:rFonts w:hint="eastAsia" w:ascii="黑体" w:hAnsi="黑体" w:eastAsia="黑体" w:cs="黑体"/>
                <w:b w:val="0"/>
                <w:bCs w:val="0"/>
                <w:sz w:val="22"/>
                <w:szCs w:val="22"/>
              </w:rPr>
            </w:pPr>
            <w:r>
              <w:rPr>
                <w:rFonts w:hint="eastAsia" w:ascii="黑体" w:hAnsi="黑体" w:eastAsia="黑体" w:cs="黑体"/>
                <w:b w:val="0"/>
                <w:bCs w:val="0"/>
                <w:kern w:val="0"/>
                <w:sz w:val="22"/>
                <w:szCs w:val="22"/>
                <w:lang w:val="en-US" w:eastAsia="zh-CN" w:bidi="ar"/>
              </w:rPr>
              <w:t>拟招录人数</w:t>
            </w:r>
          </w:p>
        </w:tc>
        <w:tc>
          <w:tcPr>
            <w:tcW w:w="1198" w:type="pct"/>
            <w:noWrap w:val="0"/>
            <w:tcMar>
              <w:top w:w="120" w:type="dxa"/>
              <w:left w:w="120" w:type="dxa"/>
              <w:bottom w:w="120" w:type="dxa"/>
              <w:right w:w="120" w:type="dxa"/>
            </w:tcMar>
            <w:vAlign w:val="center"/>
          </w:tcPr>
          <w:p w14:paraId="415AEE2A">
            <w:pPr>
              <w:keepNext w:val="0"/>
              <w:keepLines w:val="0"/>
              <w:widowControl/>
              <w:suppressLineNumbers w:val="0"/>
              <w:jc w:val="center"/>
              <w:rPr>
                <w:rFonts w:hint="eastAsia" w:ascii="黑体" w:hAnsi="黑体" w:eastAsia="黑体" w:cs="黑体"/>
                <w:b w:val="0"/>
                <w:bCs w:val="0"/>
                <w:sz w:val="22"/>
                <w:szCs w:val="22"/>
              </w:rPr>
            </w:pPr>
            <w:r>
              <w:rPr>
                <w:rFonts w:hint="eastAsia" w:ascii="黑体" w:hAnsi="黑体" w:eastAsia="黑体" w:cs="黑体"/>
                <w:b w:val="0"/>
                <w:bCs w:val="0"/>
                <w:kern w:val="0"/>
                <w:sz w:val="22"/>
                <w:szCs w:val="22"/>
                <w:lang w:val="en-US" w:eastAsia="zh-CN" w:bidi="ar"/>
              </w:rPr>
              <w:t>岗位职责</w:t>
            </w:r>
          </w:p>
        </w:tc>
        <w:tc>
          <w:tcPr>
            <w:tcW w:w="393" w:type="pct"/>
            <w:noWrap w:val="0"/>
            <w:tcMar>
              <w:top w:w="120" w:type="dxa"/>
              <w:left w:w="120" w:type="dxa"/>
              <w:bottom w:w="120" w:type="dxa"/>
              <w:right w:w="120" w:type="dxa"/>
            </w:tcMar>
            <w:vAlign w:val="center"/>
          </w:tcPr>
          <w:p w14:paraId="229C47BE">
            <w:pPr>
              <w:keepNext w:val="0"/>
              <w:keepLines w:val="0"/>
              <w:widowControl/>
              <w:suppressLineNumbers w:val="0"/>
              <w:jc w:val="center"/>
              <w:rPr>
                <w:rFonts w:hint="eastAsia" w:ascii="黑体" w:hAnsi="黑体" w:eastAsia="黑体" w:cs="黑体"/>
                <w:b w:val="0"/>
                <w:bCs w:val="0"/>
                <w:sz w:val="22"/>
                <w:szCs w:val="22"/>
              </w:rPr>
            </w:pPr>
            <w:r>
              <w:rPr>
                <w:rFonts w:hint="eastAsia" w:ascii="黑体" w:hAnsi="黑体" w:eastAsia="黑体" w:cs="黑体"/>
                <w:b w:val="0"/>
                <w:bCs w:val="0"/>
                <w:kern w:val="0"/>
                <w:sz w:val="22"/>
                <w:szCs w:val="22"/>
                <w:lang w:val="en-US" w:eastAsia="zh-CN" w:bidi="ar"/>
              </w:rPr>
              <w:t>年龄</w:t>
            </w:r>
          </w:p>
        </w:tc>
        <w:tc>
          <w:tcPr>
            <w:tcW w:w="394" w:type="pct"/>
            <w:noWrap w:val="0"/>
            <w:tcMar>
              <w:top w:w="120" w:type="dxa"/>
              <w:left w:w="120" w:type="dxa"/>
              <w:bottom w:w="120" w:type="dxa"/>
              <w:right w:w="120" w:type="dxa"/>
            </w:tcMar>
            <w:vAlign w:val="center"/>
          </w:tcPr>
          <w:p w14:paraId="5315F5B7">
            <w:pPr>
              <w:keepNext w:val="0"/>
              <w:keepLines w:val="0"/>
              <w:widowControl/>
              <w:suppressLineNumbers w:val="0"/>
              <w:jc w:val="center"/>
              <w:rPr>
                <w:rFonts w:hint="eastAsia" w:ascii="黑体" w:hAnsi="黑体" w:eastAsia="黑体" w:cs="黑体"/>
                <w:b w:val="0"/>
                <w:bCs w:val="0"/>
                <w:sz w:val="22"/>
                <w:szCs w:val="22"/>
              </w:rPr>
            </w:pPr>
            <w:r>
              <w:rPr>
                <w:rFonts w:hint="eastAsia" w:ascii="黑体" w:hAnsi="黑体" w:eastAsia="黑体" w:cs="黑体"/>
                <w:b w:val="0"/>
                <w:bCs w:val="0"/>
                <w:kern w:val="0"/>
                <w:sz w:val="22"/>
                <w:szCs w:val="22"/>
                <w:lang w:val="en-US" w:eastAsia="zh-CN" w:bidi="ar"/>
              </w:rPr>
              <w:t>学历或学位</w:t>
            </w:r>
          </w:p>
        </w:tc>
        <w:tc>
          <w:tcPr>
            <w:tcW w:w="518" w:type="pct"/>
            <w:noWrap w:val="0"/>
            <w:tcMar>
              <w:top w:w="120" w:type="dxa"/>
              <w:left w:w="120" w:type="dxa"/>
              <w:bottom w:w="120" w:type="dxa"/>
              <w:right w:w="120" w:type="dxa"/>
            </w:tcMar>
            <w:vAlign w:val="center"/>
          </w:tcPr>
          <w:p w14:paraId="1893DB9B">
            <w:pPr>
              <w:keepNext w:val="0"/>
              <w:keepLines w:val="0"/>
              <w:widowControl/>
              <w:suppressLineNumbers w:val="0"/>
              <w:jc w:val="center"/>
              <w:rPr>
                <w:rFonts w:hint="eastAsia" w:ascii="黑体" w:hAnsi="黑体" w:eastAsia="黑体" w:cs="黑体"/>
                <w:b w:val="0"/>
                <w:bCs w:val="0"/>
                <w:sz w:val="22"/>
                <w:szCs w:val="22"/>
              </w:rPr>
            </w:pPr>
            <w:r>
              <w:rPr>
                <w:rFonts w:hint="eastAsia" w:ascii="黑体" w:hAnsi="黑体" w:eastAsia="黑体" w:cs="黑体"/>
                <w:b w:val="0"/>
                <w:bCs w:val="0"/>
                <w:kern w:val="0"/>
                <w:sz w:val="22"/>
                <w:szCs w:val="22"/>
                <w:lang w:val="en-US" w:eastAsia="zh-CN" w:bidi="ar"/>
              </w:rPr>
              <w:t>专业条件要求</w:t>
            </w:r>
          </w:p>
        </w:tc>
        <w:tc>
          <w:tcPr>
            <w:tcW w:w="1328" w:type="pct"/>
            <w:noWrap w:val="0"/>
            <w:tcMar>
              <w:top w:w="120" w:type="dxa"/>
              <w:left w:w="120" w:type="dxa"/>
              <w:bottom w:w="120" w:type="dxa"/>
              <w:right w:w="120" w:type="dxa"/>
            </w:tcMar>
            <w:vAlign w:val="center"/>
          </w:tcPr>
          <w:p w14:paraId="7E5DB602">
            <w:pPr>
              <w:keepNext w:val="0"/>
              <w:keepLines w:val="0"/>
              <w:widowControl/>
              <w:suppressLineNumbers w:val="0"/>
              <w:jc w:val="center"/>
              <w:rPr>
                <w:rFonts w:hint="eastAsia" w:ascii="黑体" w:hAnsi="黑体" w:eastAsia="黑体" w:cs="黑体"/>
                <w:b w:val="0"/>
                <w:bCs w:val="0"/>
                <w:sz w:val="22"/>
                <w:szCs w:val="22"/>
              </w:rPr>
            </w:pPr>
            <w:r>
              <w:rPr>
                <w:rFonts w:hint="eastAsia" w:ascii="黑体" w:hAnsi="黑体" w:eastAsia="黑体" w:cs="黑体"/>
                <w:b w:val="0"/>
                <w:bCs w:val="0"/>
                <w:kern w:val="0"/>
                <w:sz w:val="22"/>
                <w:szCs w:val="22"/>
                <w:lang w:val="en-US" w:eastAsia="zh-CN" w:bidi="ar"/>
              </w:rPr>
              <w:t>其他条件要求</w:t>
            </w:r>
          </w:p>
        </w:tc>
        <w:tc>
          <w:tcPr>
            <w:tcW w:w="424" w:type="pct"/>
            <w:noWrap w:val="0"/>
            <w:tcMar>
              <w:top w:w="120" w:type="dxa"/>
              <w:left w:w="120" w:type="dxa"/>
              <w:bottom w:w="120" w:type="dxa"/>
              <w:right w:w="120" w:type="dxa"/>
            </w:tcMar>
            <w:vAlign w:val="center"/>
          </w:tcPr>
          <w:p w14:paraId="40B261BB">
            <w:pPr>
              <w:keepNext w:val="0"/>
              <w:keepLines w:val="0"/>
              <w:widowControl/>
              <w:suppressLineNumbers w:val="0"/>
              <w:jc w:val="center"/>
              <w:rPr>
                <w:rFonts w:hint="eastAsia" w:ascii="黑体" w:hAnsi="黑体" w:eastAsia="黑体" w:cs="黑体"/>
                <w:b w:val="0"/>
                <w:bCs w:val="0"/>
                <w:sz w:val="22"/>
                <w:szCs w:val="22"/>
              </w:rPr>
            </w:pPr>
            <w:r>
              <w:rPr>
                <w:rFonts w:hint="eastAsia" w:ascii="黑体" w:hAnsi="黑体" w:eastAsia="黑体" w:cs="黑体"/>
                <w:b w:val="0"/>
                <w:bCs w:val="0"/>
                <w:kern w:val="0"/>
                <w:sz w:val="22"/>
                <w:szCs w:val="22"/>
                <w:lang w:val="en-US" w:eastAsia="zh-CN" w:bidi="ar"/>
              </w:rPr>
              <w:t>岗位待遇</w:t>
            </w:r>
          </w:p>
        </w:tc>
      </w:tr>
      <w:tr w14:paraId="4C8E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79" w:hRule="atLeast"/>
        </w:trPr>
        <w:tc>
          <w:tcPr>
            <w:tcW w:w="0" w:type="auto"/>
            <w:noWrap w:val="0"/>
            <w:tcMar>
              <w:top w:w="120" w:type="dxa"/>
              <w:left w:w="120" w:type="dxa"/>
              <w:bottom w:w="120" w:type="dxa"/>
              <w:right w:w="120" w:type="dxa"/>
            </w:tcMar>
            <w:vAlign w:val="center"/>
          </w:tcPr>
          <w:p w14:paraId="5F1870EB">
            <w:pPr>
              <w:keepNext w:val="0"/>
              <w:keepLines w:val="0"/>
              <w:widowControl/>
              <w:suppressLineNumbers w:val="0"/>
              <w:jc w:val="center"/>
              <w:rPr>
                <w:rFonts w:hint="default" w:ascii="Times New Roman" w:hAnsi="Times New Roman" w:eastAsia="仿宋_GB2312" w:cs="Times New Roman"/>
                <w:sz w:val="21"/>
                <w:szCs w:val="21"/>
              </w:rPr>
            </w:pPr>
            <w:r>
              <w:rPr>
                <w:rFonts w:hint="eastAsia" w:ascii="Times New Roman" w:hAnsi="Times New Roman" w:eastAsia="仿宋_GB2312" w:cs="Times New Roman"/>
                <w:kern w:val="0"/>
                <w:sz w:val="21"/>
                <w:szCs w:val="21"/>
                <w:lang w:val="en-US" w:eastAsia="zh-CN" w:bidi="ar"/>
              </w:rPr>
              <w:t>1</w:t>
            </w:r>
          </w:p>
        </w:tc>
        <w:tc>
          <w:tcPr>
            <w:tcW w:w="0" w:type="auto"/>
            <w:noWrap w:val="0"/>
            <w:tcMar>
              <w:top w:w="120" w:type="dxa"/>
              <w:left w:w="120" w:type="dxa"/>
              <w:bottom w:w="120" w:type="dxa"/>
              <w:right w:w="120" w:type="dxa"/>
            </w:tcMar>
            <w:vAlign w:val="center"/>
          </w:tcPr>
          <w:p w14:paraId="0A97E7A5">
            <w:pPr>
              <w:keepNext w:val="0"/>
              <w:keepLines w:val="0"/>
              <w:widowControl/>
              <w:suppressLineNumbers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战略投资部</w:t>
            </w:r>
          </w:p>
        </w:tc>
        <w:tc>
          <w:tcPr>
            <w:tcW w:w="183" w:type="pct"/>
            <w:noWrap w:val="0"/>
            <w:tcMar>
              <w:top w:w="120" w:type="dxa"/>
              <w:left w:w="120" w:type="dxa"/>
              <w:bottom w:w="120" w:type="dxa"/>
              <w:right w:w="120" w:type="dxa"/>
            </w:tcMar>
            <w:vAlign w:val="center"/>
          </w:tcPr>
          <w:p w14:paraId="7594A467">
            <w:pPr>
              <w:keepNext w:val="0"/>
              <w:keepLines w:val="0"/>
              <w:widowControl/>
              <w:suppressLineNumbers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基金经理</w:t>
            </w:r>
          </w:p>
        </w:tc>
        <w:tc>
          <w:tcPr>
            <w:tcW w:w="237" w:type="pct"/>
            <w:noWrap w:val="0"/>
            <w:tcMar>
              <w:top w:w="120" w:type="dxa"/>
              <w:left w:w="120" w:type="dxa"/>
              <w:bottom w:w="120" w:type="dxa"/>
              <w:right w:w="120" w:type="dxa"/>
            </w:tcMar>
            <w:vAlign w:val="center"/>
          </w:tcPr>
          <w:p w14:paraId="3A4DDD7C">
            <w:pPr>
              <w:keepNext w:val="0"/>
              <w:keepLines w:val="0"/>
              <w:widowControl/>
              <w:suppressLineNumbers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1</w:t>
            </w:r>
          </w:p>
        </w:tc>
        <w:tc>
          <w:tcPr>
            <w:tcW w:w="1198" w:type="pct"/>
            <w:noWrap w:val="0"/>
            <w:tcMar>
              <w:top w:w="120" w:type="dxa"/>
              <w:left w:w="120" w:type="dxa"/>
              <w:bottom w:w="120" w:type="dxa"/>
              <w:right w:w="120" w:type="dxa"/>
            </w:tcMar>
            <w:vAlign w:val="top"/>
          </w:tcPr>
          <w:p w14:paraId="52EDA1ED">
            <w:pPr>
              <w:keepNext w:val="0"/>
              <w:keepLines w:val="0"/>
              <w:widowControl/>
              <w:numPr>
                <w:ilvl w:val="0"/>
                <w:numId w:val="1"/>
              </w:numPr>
              <w:suppressLineNumbers w:val="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协助开展基金设立、备案、运营、信息披露、合规管理等全流程工作，对接基金业协会及监管机构，保障基金规范运作；</w:t>
            </w:r>
          </w:p>
          <w:p w14:paraId="1C4D15DF">
            <w:pPr>
              <w:keepNext w:val="0"/>
              <w:keepLines w:val="0"/>
              <w:widowControl/>
              <w:numPr>
                <w:ilvl w:val="0"/>
                <w:numId w:val="1"/>
              </w:numPr>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负责项目入库、分类推送、跟踪研判，定期收集并反馈基金项目评审意见，建立并动态更新项目信息库与基金投资数据库；</w:t>
            </w:r>
          </w:p>
          <w:p w14:paraId="21B0FCC9">
            <w:pPr>
              <w:keepNext w:val="0"/>
              <w:keepLines w:val="0"/>
              <w:widowControl/>
              <w:numPr>
                <w:ilvl w:val="0"/>
                <w:numId w:val="1"/>
              </w:numPr>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跟进综合基金、子基金投资落地，协调解决项目推进中的合规、财务、法务等问题，参与投后跟踪与数据统计；</w:t>
            </w:r>
          </w:p>
          <w:p w14:paraId="793432C5">
            <w:pPr>
              <w:keepNext w:val="0"/>
              <w:keepLines w:val="0"/>
              <w:widowControl/>
              <w:numPr>
                <w:ilvl w:val="0"/>
                <w:numId w:val="1"/>
              </w:numPr>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开展硬科技、低空经济、中试熟化等领域行业研究，输出研究报告与投资研判建议，支撑投资决策；</w:t>
            </w:r>
          </w:p>
          <w:p w14:paraId="6EF7DA03">
            <w:pPr>
              <w:keepNext w:val="0"/>
              <w:keepLines w:val="0"/>
              <w:widowControl/>
              <w:numPr>
                <w:ilvl w:val="0"/>
                <w:numId w:val="1"/>
              </w:numPr>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负责基金运营文稿、分析报告、统计报表撰写，组织投决会、项目路演等相关会议保障工作；</w:t>
            </w:r>
          </w:p>
          <w:p w14:paraId="1612330E">
            <w:pPr>
              <w:keepNext w:val="0"/>
              <w:keepLines w:val="0"/>
              <w:widowControl/>
              <w:numPr>
                <w:ilvl w:val="0"/>
                <w:numId w:val="1"/>
              </w:numPr>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协助维护合作机构关系，参与产业生态搭建与资源对接，完成领导交办的其他工作。</w:t>
            </w:r>
          </w:p>
        </w:tc>
        <w:tc>
          <w:tcPr>
            <w:tcW w:w="393" w:type="pct"/>
            <w:noWrap w:val="0"/>
            <w:tcMar>
              <w:top w:w="120" w:type="dxa"/>
              <w:left w:w="120" w:type="dxa"/>
              <w:bottom w:w="120" w:type="dxa"/>
              <w:right w:w="120" w:type="dxa"/>
            </w:tcMar>
            <w:vAlign w:val="center"/>
          </w:tcPr>
          <w:p w14:paraId="7A0C51E3">
            <w:pPr>
              <w:keepNext w:val="0"/>
              <w:keepLines w:val="0"/>
              <w:widowControl/>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36周岁及以下（1990年1月1日以后出生），特别优秀者可适当放宽</w:t>
            </w:r>
          </w:p>
        </w:tc>
        <w:tc>
          <w:tcPr>
            <w:tcW w:w="394" w:type="pct"/>
            <w:noWrap w:val="0"/>
            <w:tcMar>
              <w:top w:w="120" w:type="dxa"/>
              <w:left w:w="120" w:type="dxa"/>
              <w:bottom w:w="120" w:type="dxa"/>
              <w:right w:w="120" w:type="dxa"/>
            </w:tcMar>
            <w:vAlign w:val="center"/>
          </w:tcPr>
          <w:p w14:paraId="2A1B6DAC">
            <w:pPr>
              <w:keepNext w:val="0"/>
              <w:keepLines w:val="0"/>
              <w:widowControl/>
              <w:suppressLineNumbers w:val="0"/>
              <w:jc w:val="both"/>
              <w:rPr>
                <w:rFonts w:hint="default" w:ascii="Times New Roman" w:hAnsi="Times New Roman" w:eastAsia="仿宋_GB2312" w:cs="Times New Roman"/>
                <w:sz w:val="21"/>
                <w:szCs w:val="21"/>
                <w:lang w:val="en-US"/>
              </w:rPr>
            </w:pPr>
            <w:r>
              <w:rPr>
                <w:rFonts w:hint="default" w:ascii="Times New Roman" w:hAnsi="Times New Roman" w:eastAsia="仿宋_GB2312" w:cs="Times New Roman"/>
                <w:kern w:val="0"/>
                <w:sz w:val="21"/>
                <w:szCs w:val="21"/>
                <w:lang w:val="en-US" w:eastAsia="zh-CN" w:bidi="ar"/>
              </w:rPr>
              <w:t>全</w:t>
            </w:r>
            <w:bookmarkStart w:id="0" w:name="_GoBack"/>
            <w:bookmarkEnd w:id="0"/>
            <w:r>
              <w:rPr>
                <w:rFonts w:hint="default" w:ascii="Times New Roman" w:hAnsi="Times New Roman" w:eastAsia="仿宋_GB2312" w:cs="Times New Roman"/>
                <w:kern w:val="0"/>
                <w:sz w:val="21"/>
                <w:szCs w:val="21"/>
                <w:lang w:val="en-US" w:eastAsia="zh-CN" w:bidi="ar"/>
              </w:rPr>
              <w:t>日制本科及以上</w:t>
            </w:r>
            <w:r>
              <w:rPr>
                <w:rFonts w:hint="eastAsia" w:ascii="Times New Roman" w:hAnsi="Times New Roman" w:eastAsia="仿宋_GB2312" w:cs="Times New Roman"/>
                <w:kern w:val="0"/>
                <w:sz w:val="21"/>
                <w:szCs w:val="21"/>
                <w:lang w:val="en-US" w:eastAsia="zh-CN" w:bidi="ar"/>
              </w:rPr>
              <w:t>学历，取得相应学历学位证书</w:t>
            </w:r>
          </w:p>
        </w:tc>
        <w:tc>
          <w:tcPr>
            <w:tcW w:w="518" w:type="pct"/>
            <w:noWrap w:val="0"/>
            <w:tcMar>
              <w:top w:w="120" w:type="dxa"/>
              <w:left w:w="120" w:type="dxa"/>
              <w:bottom w:w="120" w:type="dxa"/>
              <w:right w:w="120" w:type="dxa"/>
            </w:tcMar>
            <w:vAlign w:val="center"/>
          </w:tcPr>
          <w:p w14:paraId="30230854">
            <w:pPr>
              <w:keepNext w:val="0"/>
              <w:keepLines w:val="0"/>
              <w:widowControl/>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理工科专业，航空</w:t>
            </w:r>
            <w:r>
              <w:rPr>
                <w:rFonts w:hint="eastAsia" w:ascii="Times New Roman" w:hAnsi="Times New Roman" w:eastAsia="仿宋_GB2312" w:cs="Times New Roman"/>
                <w:kern w:val="0"/>
                <w:sz w:val="21"/>
                <w:szCs w:val="21"/>
                <w:lang w:val="en-US" w:eastAsia="zh-CN" w:bidi="ar"/>
              </w:rPr>
              <w:t>航天、低空</w:t>
            </w:r>
            <w:r>
              <w:rPr>
                <w:rFonts w:hint="default" w:ascii="Times New Roman" w:hAnsi="Times New Roman" w:eastAsia="仿宋_GB2312" w:cs="Times New Roman"/>
                <w:kern w:val="0"/>
                <w:sz w:val="21"/>
                <w:szCs w:val="21"/>
                <w:lang w:val="en-US" w:eastAsia="zh-CN" w:bidi="ar"/>
              </w:rPr>
              <w:t>经济相关专业优先，或相关领域重点院校优先</w:t>
            </w:r>
          </w:p>
        </w:tc>
        <w:tc>
          <w:tcPr>
            <w:tcW w:w="1328" w:type="pct"/>
            <w:noWrap w:val="0"/>
            <w:tcMar>
              <w:top w:w="120" w:type="dxa"/>
              <w:left w:w="120" w:type="dxa"/>
              <w:bottom w:w="120" w:type="dxa"/>
              <w:right w:w="120" w:type="dxa"/>
            </w:tcMar>
            <w:vAlign w:val="center"/>
          </w:tcPr>
          <w:p w14:paraId="33476074">
            <w:pPr>
              <w:keepNext w:val="0"/>
              <w:keepLines w:val="0"/>
              <w:widowControl/>
              <w:numPr>
                <w:ilvl w:val="0"/>
                <w:numId w:val="2"/>
              </w:numPr>
              <w:suppressLineNumbers w:val="0"/>
              <w:jc w:val="both"/>
              <w:rPr>
                <w:rFonts w:hint="default"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熟悉航空航天、低空经济行业的股权投资模式</w:t>
            </w:r>
            <w:r>
              <w:rPr>
                <w:rFonts w:hint="eastAsia" w:ascii="Times New Roman" w:hAnsi="Times New Roman" w:eastAsia="仿宋_GB2312" w:cs="Times New Roman"/>
                <w:kern w:val="0"/>
                <w:sz w:val="21"/>
                <w:szCs w:val="21"/>
                <w:lang w:val="en-US" w:eastAsia="zh-CN" w:bidi="ar"/>
              </w:rPr>
              <w:t>；</w:t>
            </w:r>
          </w:p>
          <w:p w14:paraId="43975109">
            <w:pPr>
              <w:keepNext w:val="0"/>
              <w:keepLines w:val="0"/>
              <w:widowControl/>
              <w:numPr>
                <w:ilvl w:val="0"/>
                <w:numId w:val="2"/>
              </w:numPr>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具有从事</w:t>
            </w:r>
            <w:r>
              <w:rPr>
                <w:rFonts w:hint="eastAsia" w:ascii="Times New Roman" w:hAnsi="Times New Roman" w:eastAsia="仿宋_GB2312" w:cs="Times New Roman"/>
                <w:kern w:val="0"/>
                <w:sz w:val="21"/>
                <w:szCs w:val="21"/>
                <w:lang w:val="en-US" w:eastAsia="zh-CN" w:bidi="ar"/>
              </w:rPr>
              <w:t>政府产业基金、私募股权投资基金</w:t>
            </w:r>
            <w:r>
              <w:rPr>
                <w:rFonts w:hint="default" w:ascii="Times New Roman" w:hAnsi="Times New Roman" w:eastAsia="仿宋_GB2312" w:cs="Times New Roman"/>
                <w:kern w:val="0"/>
                <w:sz w:val="21"/>
                <w:szCs w:val="21"/>
                <w:lang w:val="en-US" w:eastAsia="zh-CN" w:bidi="ar"/>
              </w:rPr>
              <w:t>工作经历优先；</w:t>
            </w:r>
          </w:p>
          <w:p w14:paraId="7E881BDB">
            <w:pPr>
              <w:keepNext w:val="0"/>
              <w:keepLines w:val="0"/>
              <w:widowControl/>
              <w:numPr>
                <w:ilvl w:val="0"/>
                <w:numId w:val="2"/>
              </w:numPr>
              <w:suppressLineNumbers w:val="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熟悉国有企业投融资业务流程、基金行业运作模式、监管政策及相关法律法规，能独立撰写基金运行分析报告，具备良好的文字写作能力；</w:t>
            </w:r>
          </w:p>
          <w:p w14:paraId="1CC4FDF7">
            <w:pPr>
              <w:keepNext w:val="0"/>
              <w:keepLines w:val="0"/>
              <w:widowControl/>
              <w:numPr>
                <w:ilvl w:val="0"/>
                <w:numId w:val="2"/>
              </w:numPr>
              <w:suppressLineNumbers w:val="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能独立开展行业研究、项目投资分析并形成专业判断，同时拥有扎实的数据处理能力；</w:t>
            </w:r>
          </w:p>
          <w:p w14:paraId="7711DE5B">
            <w:pPr>
              <w:keepNext w:val="0"/>
              <w:keepLines w:val="0"/>
              <w:widowControl/>
              <w:numPr>
                <w:ilvl w:val="0"/>
                <w:numId w:val="2"/>
              </w:numPr>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政治素质过硬，中共党员优先</w:t>
            </w:r>
            <w:r>
              <w:rPr>
                <w:rFonts w:hint="eastAsia" w:ascii="Times New Roman" w:hAnsi="Times New Roman"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具备良好的沟通协调能力、团队合作意识，严谨细心、抗压性强、保密意识强；</w:t>
            </w:r>
          </w:p>
          <w:p w14:paraId="3DC33A24">
            <w:pPr>
              <w:keepNext w:val="0"/>
              <w:keepLines w:val="0"/>
              <w:widowControl/>
              <w:numPr>
                <w:ilvl w:val="0"/>
                <w:numId w:val="2"/>
              </w:numPr>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特别优秀者可适当放宽条件。</w:t>
            </w:r>
          </w:p>
        </w:tc>
        <w:tc>
          <w:tcPr>
            <w:tcW w:w="424" w:type="pct"/>
            <w:noWrap w:val="0"/>
            <w:tcMar>
              <w:top w:w="120" w:type="dxa"/>
              <w:left w:w="120" w:type="dxa"/>
              <w:bottom w:w="120" w:type="dxa"/>
              <w:right w:w="120" w:type="dxa"/>
            </w:tcMar>
            <w:vAlign w:val="center"/>
          </w:tcPr>
          <w:p w14:paraId="09CF3967">
            <w:pPr>
              <w:keepNext w:val="0"/>
              <w:keepLines w:val="0"/>
              <w:widowControl/>
              <w:suppressLineNumbers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12万—18万/年</w:t>
            </w:r>
          </w:p>
        </w:tc>
      </w:tr>
      <w:tr w14:paraId="2C42F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noWrap w:val="0"/>
            <w:tcMar>
              <w:top w:w="120" w:type="dxa"/>
              <w:left w:w="120" w:type="dxa"/>
              <w:bottom w:w="120" w:type="dxa"/>
              <w:right w:w="120" w:type="dxa"/>
            </w:tcMar>
            <w:vAlign w:val="center"/>
          </w:tcPr>
          <w:p w14:paraId="437D66D3">
            <w:pPr>
              <w:keepNext w:val="0"/>
              <w:keepLines w:val="0"/>
              <w:widowControl/>
              <w:suppressLineNumbers w:val="0"/>
              <w:jc w:val="center"/>
              <w:rPr>
                <w:rFonts w:hint="default" w:ascii="Times New Roman" w:hAnsi="Times New Roman" w:eastAsia="仿宋_GB2312" w:cs="Times New Roman"/>
                <w:sz w:val="21"/>
                <w:szCs w:val="21"/>
              </w:rPr>
            </w:pPr>
            <w:r>
              <w:rPr>
                <w:rFonts w:hint="eastAsia" w:ascii="Times New Roman" w:hAnsi="Times New Roman" w:eastAsia="仿宋_GB2312" w:cs="Times New Roman"/>
                <w:kern w:val="0"/>
                <w:sz w:val="21"/>
                <w:szCs w:val="21"/>
                <w:lang w:val="en-US" w:eastAsia="zh-CN" w:bidi="ar"/>
              </w:rPr>
              <w:t>2</w:t>
            </w:r>
          </w:p>
        </w:tc>
        <w:tc>
          <w:tcPr>
            <w:tcW w:w="0" w:type="auto"/>
            <w:noWrap w:val="0"/>
            <w:tcMar>
              <w:top w:w="120" w:type="dxa"/>
              <w:left w:w="120" w:type="dxa"/>
              <w:bottom w:w="120" w:type="dxa"/>
              <w:right w:w="120" w:type="dxa"/>
            </w:tcMar>
            <w:vAlign w:val="center"/>
          </w:tcPr>
          <w:p w14:paraId="23C9FA95">
            <w:pPr>
              <w:keepNext w:val="0"/>
              <w:keepLines w:val="0"/>
              <w:widowControl/>
              <w:suppressLineNumbers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计划财务部</w:t>
            </w:r>
          </w:p>
        </w:tc>
        <w:tc>
          <w:tcPr>
            <w:tcW w:w="183" w:type="pct"/>
            <w:noWrap w:val="0"/>
            <w:tcMar>
              <w:top w:w="120" w:type="dxa"/>
              <w:left w:w="120" w:type="dxa"/>
              <w:bottom w:w="120" w:type="dxa"/>
              <w:right w:w="120" w:type="dxa"/>
            </w:tcMar>
            <w:vAlign w:val="center"/>
          </w:tcPr>
          <w:p w14:paraId="4698BDBC">
            <w:pPr>
              <w:keepNext w:val="0"/>
              <w:keepLines w:val="0"/>
              <w:widowControl/>
              <w:suppressLineNumbers w:val="0"/>
              <w:jc w:val="center"/>
              <w:rPr>
                <w:rFonts w:hint="default" w:ascii="Times New Roman" w:hAnsi="Times New Roman" w:eastAsia="仿宋_GB2312" w:cs="Times New Roman"/>
                <w:sz w:val="21"/>
                <w:szCs w:val="21"/>
              </w:rPr>
            </w:pPr>
            <w:r>
              <w:rPr>
                <w:rFonts w:hint="eastAsia" w:ascii="Times New Roman" w:hAnsi="Times New Roman" w:eastAsia="仿宋_GB2312" w:cs="Times New Roman"/>
                <w:kern w:val="0"/>
                <w:sz w:val="21"/>
                <w:szCs w:val="21"/>
                <w:lang w:val="en-US" w:eastAsia="zh-CN" w:bidi="ar"/>
              </w:rPr>
              <w:t>高级主管</w:t>
            </w:r>
          </w:p>
        </w:tc>
        <w:tc>
          <w:tcPr>
            <w:tcW w:w="237" w:type="pct"/>
            <w:noWrap w:val="0"/>
            <w:tcMar>
              <w:top w:w="120" w:type="dxa"/>
              <w:left w:w="120" w:type="dxa"/>
              <w:bottom w:w="120" w:type="dxa"/>
              <w:right w:w="120" w:type="dxa"/>
            </w:tcMar>
            <w:vAlign w:val="center"/>
          </w:tcPr>
          <w:p w14:paraId="22A46818">
            <w:pPr>
              <w:keepNext w:val="0"/>
              <w:keepLines w:val="0"/>
              <w:widowControl/>
              <w:suppressLineNumbers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1</w:t>
            </w:r>
          </w:p>
        </w:tc>
        <w:tc>
          <w:tcPr>
            <w:tcW w:w="1198" w:type="pct"/>
            <w:noWrap w:val="0"/>
            <w:tcMar>
              <w:top w:w="120" w:type="dxa"/>
              <w:left w:w="120" w:type="dxa"/>
              <w:bottom w:w="120" w:type="dxa"/>
              <w:right w:w="120" w:type="dxa"/>
            </w:tcMar>
            <w:vAlign w:val="center"/>
          </w:tcPr>
          <w:p w14:paraId="023C9955">
            <w:pPr>
              <w:keepNext w:val="0"/>
              <w:keepLines w:val="0"/>
              <w:widowControl/>
              <w:numPr>
                <w:ilvl w:val="0"/>
                <w:numId w:val="3"/>
              </w:numPr>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协助分管领导</w:t>
            </w:r>
            <w:r>
              <w:rPr>
                <w:rFonts w:hint="eastAsia" w:ascii="Times New Roman" w:hAnsi="Times New Roman" w:eastAsia="仿宋_GB2312" w:cs="Times New Roman"/>
                <w:kern w:val="0"/>
                <w:sz w:val="21"/>
                <w:szCs w:val="21"/>
                <w:lang w:val="en-US" w:eastAsia="zh-CN" w:bidi="ar"/>
              </w:rPr>
              <w:t>负责</w:t>
            </w:r>
            <w:r>
              <w:rPr>
                <w:rFonts w:hint="default" w:ascii="Times New Roman" w:hAnsi="Times New Roman" w:eastAsia="仿宋_GB2312" w:cs="Times New Roman"/>
                <w:kern w:val="0"/>
                <w:sz w:val="21"/>
                <w:szCs w:val="21"/>
                <w:lang w:val="en-US" w:eastAsia="zh-CN" w:bidi="ar"/>
              </w:rPr>
              <w:t>部门工作，统筹集团及下属公司财务核算、资金管理、预决算管理、税务管理、财务信息化、财务档案、内控风控全体系工作；</w:t>
            </w:r>
          </w:p>
          <w:p w14:paraId="625294B0">
            <w:pPr>
              <w:keepNext w:val="0"/>
              <w:keepLines w:val="0"/>
              <w:widowControl/>
              <w:numPr>
                <w:ilvl w:val="0"/>
                <w:numId w:val="3"/>
              </w:numPr>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建立健全适配国资监管、基金投资、中试业务的财务管理制度与流程，强化财会监督与风险防控，保障财务合规运营；</w:t>
            </w:r>
          </w:p>
          <w:p w14:paraId="06B5CC1F">
            <w:pPr>
              <w:keepNext w:val="0"/>
              <w:keepLines w:val="0"/>
              <w:widowControl/>
              <w:numPr>
                <w:ilvl w:val="0"/>
                <w:numId w:val="3"/>
              </w:numPr>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负责投资项目财务尽调、估值复核、财务风险研判，为基金投资、投后管理、项目退出提供专业财务支撑，审核投资协议财务条款；</w:t>
            </w:r>
          </w:p>
          <w:p w14:paraId="2C9EBB95">
            <w:pPr>
              <w:keepNext w:val="0"/>
              <w:keepLines w:val="0"/>
              <w:widowControl/>
              <w:numPr>
                <w:ilvl w:val="0"/>
                <w:numId w:val="3"/>
              </w:numPr>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统筹集团资金计划、拨付与监控，规范银行账户与结算管理，保障基金投资资金与运营资金安全高效使用；</w:t>
            </w:r>
          </w:p>
          <w:p w14:paraId="12C55038">
            <w:pPr>
              <w:keepNext w:val="0"/>
              <w:keepLines w:val="0"/>
              <w:widowControl/>
              <w:numPr>
                <w:ilvl w:val="0"/>
                <w:numId w:val="3"/>
              </w:numPr>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负责国资财务快报、决算、专项审计及监管报送，推动财务数字化建设与财务一体化管控，提升财务运营效率；</w:t>
            </w:r>
          </w:p>
          <w:p w14:paraId="3D43F355">
            <w:pPr>
              <w:keepNext w:val="0"/>
              <w:keepLines w:val="0"/>
              <w:pageBreakBefore w:val="0"/>
              <w:widowControl w:val="0"/>
              <w:numPr>
                <w:ilvl w:val="0"/>
                <w:numId w:val="3"/>
              </w:numPr>
              <w:kinsoku/>
              <w:wordWrap/>
              <w:overflowPunct/>
              <w:topLinePunct w:val="0"/>
              <w:autoSpaceDE/>
              <w:autoSpaceDN/>
              <w:bidi w:val="0"/>
              <w:adjustRightInd/>
              <w:snapToGrid/>
              <w:spacing w:line="223" w:lineRule="auto"/>
              <w:ind w:left="0" w:leftChars="0"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完成领导交办的其他工作。</w:t>
            </w:r>
          </w:p>
          <w:p w14:paraId="5F9FE08B">
            <w:pPr>
              <w:keepNext w:val="0"/>
              <w:keepLines w:val="0"/>
              <w:pageBreakBefore w:val="0"/>
              <w:widowControl w:val="0"/>
              <w:numPr>
                <w:ilvl w:val="0"/>
                <w:numId w:val="3"/>
              </w:numPr>
              <w:kinsoku/>
              <w:wordWrap/>
              <w:overflowPunct/>
              <w:topLinePunct w:val="0"/>
              <w:autoSpaceDE/>
              <w:autoSpaceDN/>
              <w:bidi w:val="0"/>
              <w:adjustRightInd/>
              <w:snapToGrid/>
              <w:spacing w:line="223" w:lineRule="auto"/>
              <w:ind w:left="0" w:leftChars="0" w:firstLine="0" w:firstLineChars="0"/>
              <w:jc w:val="both"/>
              <w:textAlignment w:val="auto"/>
              <w:rPr>
                <w:rFonts w:hint="default" w:ascii="Times New Roman" w:hAnsi="Times New Roman" w:eastAsia="仿宋_GB2312" w:cs="Times New Roman"/>
                <w:sz w:val="21"/>
                <w:szCs w:val="21"/>
              </w:rPr>
            </w:pPr>
            <w:r>
              <w:rPr>
                <w:rFonts w:hint="eastAsia" w:ascii="Times New Roman" w:hAnsi="Times New Roman" w:eastAsia="仿宋_GB2312" w:cs="Times New Roman"/>
                <w:kern w:val="0"/>
                <w:sz w:val="21"/>
                <w:szCs w:val="21"/>
                <w:lang w:val="en-US" w:eastAsia="zh-CN" w:bidi="ar"/>
              </w:rPr>
              <w:t>特别优秀者可作为部门负责人储备。</w:t>
            </w:r>
          </w:p>
        </w:tc>
        <w:tc>
          <w:tcPr>
            <w:tcW w:w="393" w:type="pct"/>
            <w:noWrap w:val="0"/>
            <w:tcMar>
              <w:top w:w="120" w:type="dxa"/>
              <w:left w:w="120" w:type="dxa"/>
              <w:bottom w:w="120" w:type="dxa"/>
              <w:right w:w="120" w:type="dxa"/>
            </w:tcMar>
            <w:vAlign w:val="center"/>
          </w:tcPr>
          <w:p w14:paraId="07B8769E">
            <w:pPr>
              <w:keepNext w:val="0"/>
              <w:keepLines w:val="0"/>
              <w:widowControl/>
              <w:suppressLineNumbers w:val="0"/>
              <w:jc w:val="both"/>
              <w:rPr>
                <w:rFonts w:hint="default" w:ascii="Times New Roman" w:hAnsi="Times New Roman" w:eastAsia="仿宋_GB2312" w:cs="Times New Roman"/>
                <w:sz w:val="21"/>
                <w:szCs w:val="21"/>
              </w:rPr>
            </w:pPr>
            <w:r>
              <w:rPr>
                <w:rFonts w:hint="eastAsia" w:ascii="Times New Roman" w:hAnsi="Times New Roman" w:eastAsia="仿宋_GB2312" w:cs="Times New Roman"/>
                <w:kern w:val="0"/>
                <w:sz w:val="21"/>
                <w:szCs w:val="21"/>
                <w:lang w:val="en-US" w:eastAsia="zh-CN" w:bidi="ar"/>
              </w:rPr>
              <w:t>40</w:t>
            </w:r>
            <w:r>
              <w:rPr>
                <w:rFonts w:hint="default" w:ascii="Times New Roman" w:hAnsi="Times New Roman" w:eastAsia="仿宋_GB2312" w:cs="Times New Roman"/>
                <w:kern w:val="0"/>
                <w:sz w:val="21"/>
                <w:szCs w:val="21"/>
                <w:lang w:val="en-US" w:eastAsia="zh-CN" w:bidi="ar"/>
              </w:rPr>
              <w:t>周岁及以下（19</w:t>
            </w:r>
            <w:r>
              <w:rPr>
                <w:rFonts w:hint="eastAsia" w:ascii="Times New Roman" w:hAnsi="Times New Roman" w:eastAsia="仿宋_GB2312" w:cs="Times New Roman"/>
                <w:kern w:val="0"/>
                <w:sz w:val="21"/>
                <w:szCs w:val="21"/>
                <w:lang w:val="en-US" w:eastAsia="zh-CN" w:bidi="ar"/>
              </w:rPr>
              <w:t>86</w:t>
            </w:r>
            <w:r>
              <w:rPr>
                <w:rFonts w:hint="default" w:ascii="Times New Roman" w:hAnsi="Times New Roman" w:eastAsia="仿宋_GB2312" w:cs="Times New Roman"/>
                <w:kern w:val="0"/>
                <w:sz w:val="21"/>
                <w:szCs w:val="21"/>
                <w:lang w:val="en-US" w:eastAsia="zh-CN" w:bidi="ar"/>
              </w:rPr>
              <w:t>年1月1日以后出生）；特别优秀者可适当放宽</w:t>
            </w:r>
          </w:p>
        </w:tc>
        <w:tc>
          <w:tcPr>
            <w:tcW w:w="394" w:type="pct"/>
            <w:noWrap w:val="0"/>
            <w:tcMar>
              <w:top w:w="120" w:type="dxa"/>
              <w:left w:w="120" w:type="dxa"/>
              <w:bottom w:w="120" w:type="dxa"/>
              <w:right w:w="120" w:type="dxa"/>
            </w:tcMar>
            <w:vAlign w:val="center"/>
          </w:tcPr>
          <w:p w14:paraId="68260313">
            <w:pPr>
              <w:keepNext w:val="0"/>
              <w:keepLines w:val="0"/>
              <w:widowControl/>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全日制本科及以上</w:t>
            </w:r>
            <w:r>
              <w:rPr>
                <w:rFonts w:hint="eastAsia" w:ascii="Times New Roman" w:hAnsi="Times New Roman" w:eastAsia="仿宋_GB2312" w:cs="Times New Roman"/>
                <w:kern w:val="0"/>
                <w:sz w:val="21"/>
                <w:szCs w:val="21"/>
                <w:lang w:val="en-US" w:eastAsia="zh-CN" w:bidi="ar"/>
              </w:rPr>
              <w:t>学历，取得相应学历学位证书</w:t>
            </w:r>
          </w:p>
        </w:tc>
        <w:tc>
          <w:tcPr>
            <w:tcW w:w="518" w:type="pct"/>
            <w:noWrap w:val="0"/>
            <w:tcMar>
              <w:top w:w="120" w:type="dxa"/>
              <w:left w:w="120" w:type="dxa"/>
              <w:bottom w:w="120" w:type="dxa"/>
              <w:right w:w="120" w:type="dxa"/>
            </w:tcMar>
            <w:vAlign w:val="center"/>
          </w:tcPr>
          <w:p w14:paraId="771E9FB4">
            <w:pPr>
              <w:keepNext w:val="0"/>
              <w:keepLines w:val="0"/>
              <w:widowControl/>
              <w:numPr>
                <w:ilvl w:val="0"/>
                <w:numId w:val="0"/>
              </w:numPr>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会计学、财务管理、审计学等相关专业</w:t>
            </w:r>
          </w:p>
        </w:tc>
        <w:tc>
          <w:tcPr>
            <w:tcW w:w="1328" w:type="pct"/>
            <w:noWrap w:val="0"/>
            <w:tcMar>
              <w:top w:w="120" w:type="dxa"/>
              <w:left w:w="120" w:type="dxa"/>
              <w:bottom w:w="120" w:type="dxa"/>
              <w:right w:w="120" w:type="dxa"/>
            </w:tcMar>
            <w:vAlign w:val="center"/>
          </w:tcPr>
          <w:p w14:paraId="79B936F3">
            <w:pPr>
              <w:keepNext w:val="0"/>
              <w:keepLines w:val="0"/>
              <w:widowControl/>
              <w:numPr>
                <w:ilvl w:val="0"/>
                <w:numId w:val="4"/>
              </w:numPr>
              <w:suppressLineNumbers w:val="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政治素质过硬，中共党员优先，廉洁自律、严守财经纪律与保密规定；</w:t>
            </w:r>
          </w:p>
          <w:p w14:paraId="0E0E49A0">
            <w:pPr>
              <w:keepNext w:val="0"/>
              <w:keepLines w:val="0"/>
              <w:widowControl/>
              <w:numPr>
                <w:ilvl w:val="0"/>
                <w:numId w:val="4"/>
              </w:numPr>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具有大型国企、金融机构、会计师事务所5年及以上财务相关工作经历；</w:t>
            </w:r>
          </w:p>
          <w:p w14:paraId="4FC3B4DC">
            <w:pPr>
              <w:keepNext w:val="0"/>
              <w:keepLines w:val="0"/>
              <w:widowControl/>
              <w:numPr>
                <w:ilvl w:val="0"/>
                <w:numId w:val="4"/>
              </w:numPr>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市（州）属国有及国有控股企业财务部门中层副职及以上人员或下属企业财务部门正职任职1年以上经历</w:t>
            </w:r>
            <w:r>
              <w:rPr>
                <w:rFonts w:hint="eastAsia" w:ascii="Times New Roman" w:hAnsi="Times New Roman" w:eastAsia="仿宋_GB2312" w:cs="Times New Roman"/>
                <w:kern w:val="0"/>
                <w:sz w:val="21"/>
                <w:szCs w:val="21"/>
                <w:lang w:val="en-US" w:eastAsia="zh-CN" w:bidi="ar"/>
              </w:rPr>
              <w:t>优先</w:t>
            </w:r>
            <w:r>
              <w:rPr>
                <w:rFonts w:hint="default" w:ascii="Times New Roman" w:hAnsi="Times New Roman" w:eastAsia="仿宋_GB2312" w:cs="Times New Roman"/>
                <w:kern w:val="0"/>
                <w:sz w:val="21"/>
                <w:szCs w:val="21"/>
                <w:lang w:val="en-US" w:eastAsia="zh-CN" w:bidi="ar"/>
              </w:rPr>
              <w:t>；</w:t>
            </w:r>
          </w:p>
          <w:p w14:paraId="03086EDE">
            <w:pPr>
              <w:keepNext w:val="0"/>
              <w:keepLines w:val="0"/>
              <w:widowControl/>
              <w:numPr>
                <w:ilvl w:val="0"/>
                <w:numId w:val="4"/>
              </w:numPr>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具有中级及以上会计职称，或具有 CPA、ACCA</w:t>
            </w:r>
            <w:r>
              <w:rPr>
                <w:rFonts w:hint="eastAsia" w:ascii="Times New Roman" w:hAnsi="Times New Roman" w:eastAsia="仿宋_GB2312" w:cs="Times New Roman"/>
                <w:kern w:val="0"/>
                <w:sz w:val="21"/>
                <w:szCs w:val="21"/>
                <w:lang w:val="en-US" w:eastAsia="zh-CN" w:bidi="ar"/>
              </w:rPr>
              <w:t>、税务师</w:t>
            </w:r>
            <w:r>
              <w:rPr>
                <w:rFonts w:hint="default" w:ascii="Times New Roman" w:hAnsi="Times New Roman" w:eastAsia="仿宋_GB2312" w:cs="Times New Roman"/>
                <w:kern w:val="0"/>
                <w:sz w:val="21"/>
                <w:szCs w:val="21"/>
                <w:lang w:val="en-US" w:eastAsia="zh-CN" w:bidi="ar"/>
              </w:rPr>
              <w:t>资格证书（优先）；</w:t>
            </w:r>
          </w:p>
          <w:p w14:paraId="6376CB46">
            <w:pPr>
              <w:keepNext w:val="0"/>
              <w:keepLines w:val="0"/>
              <w:widowControl/>
              <w:numPr>
                <w:ilvl w:val="0"/>
                <w:numId w:val="4"/>
              </w:numPr>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熟悉</w:t>
            </w:r>
            <w:r>
              <w:rPr>
                <w:rFonts w:hint="eastAsia" w:ascii="Times New Roman" w:hAnsi="Times New Roman" w:eastAsia="仿宋_GB2312" w:cs="Times New Roman"/>
                <w:kern w:val="0"/>
                <w:sz w:val="21"/>
                <w:szCs w:val="21"/>
                <w:lang w:val="en-US" w:eastAsia="zh-CN" w:bidi="ar"/>
              </w:rPr>
              <w:t>国有企业财务预算管理；熟悉资本市场投融资、政府债券发行；熟悉</w:t>
            </w:r>
            <w:r>
              <w:rPr>
                <w:rFonts w:hint="default" w:ascii="Times New Roman" w:hAnsi="Times New Roman" w:eastAsia="仿宋_GB2312" w:cs="Times New Roman"/>
                <w:kern w:val="0"/>
                <w:sz w:val="21"/>
                <w:szCs w:val="21"/>
                <w:lang w:val="en-US" w:eastAsia="zh-CN" w:bidi="ar"/>
              </w:rPr>
              <w:t>国家财经政策和会计、税务法规，熟练使用办公软件、财务软件，具备优秀的财务分析、风险防控、沟通协调与团队管理能力；</w:t>
            </w:r>
          </w:p>
          <w:p w14:paraId="11B30BBD">
            <w:pPr>
              <w:keepNext w:val="0"/>
              <w:keepLines w:val="0"/>
              <w:widowControl/>
              <w:numPr>
                <w:ilvl w:val="0"/>
                <w:numId w:val="4"/>
              </w:numPr>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特别优秀者可适当放宽条件。</w:t>
            </w:r>
          </w:p>
        </w:tc>
        <w:tc>
          <w:tcPr>
            <w:tcW w:w="424" w:type="pct"/>
            <w:noWrap w:val="0"/>
            <w:tcMar>
              <w:top w:w="120" w:type="dxa"/>
              <w:left w:w="120" w:type="dxa"/>
              <w:bottom w:w="120" w:type="dxa"/>
              <w:right w:w="120" w:type="dxa"/>
            </w:tcMar>
            <w:vAlign w:val="center"/>
          </w:tcPr>
          <w:p w14:paraId="6F22AF86">
            <w:pPr>
              <w:keepNext w:val="0"/>
              <w:keepLines w:val="0"/>
              <w:widowControl/>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19万—23万/年</w:t>
            </w:r>
          </w:p>
        </w:tc>
      </w:tr>
      <w:tr w14:paraId="1F69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24" w:hRule="atLeast"/>
        </w:trPr>
        <w:tc>
          <w:tcPr>
            <w:tcW w:w="132" w:type="pct"/>
            <w:noWrap w:val="0"/>
            <w:tcMar>
              <w:top w:w="120" w:type="dxa"/>
              <w:left w:w="120" w:type="dxa"/>
              <w:bottom w:w="120" w:type="dxa"/>
              <w:right w:w="120" w:type="dxa"/>
            </w:tcMar>
            <w:vAlign w:val="center"/>
          </w:tcPr>
          <w:p w14:paraId="3E165A99">
            <w:pPr>
              <w:keepNext w:val="0"/>
              <w:keepLines w:val="0"/>
              <w:pageBreakBefore w:val="0"/>
              <w:widowControl w:val="0"/>
              <w:kinsoku/>
              <w:wordWrap/>
              <w:overflowPunct/>
              <w:topLinePunct w:val="0"/>
              <w:autoSpaceDE/>
              <w:autoSpaceDN/>
              <w:bidi w:val="0"/>
              <w:adjustRightInd/>
              <w:snapToGrid/>
              <w:spacing w:line="312" w:lineRule="exact"/>
              <w:ind w:right="0" w:rightChars="0"/>
              <w:jc w:val="center"/>
              <w:textAlignment w:val="auto"/>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color w:val="auto"/>
                <w:position w:val="1"/>
                <w:sz w:val="21"/>
                <w:szCs w:val="21"/>
                <w:highlight w:val="none"/>
                <w:lang w:val="en-US" w:eastAsia="zh-CN"/>
              </w:rPr>
              <w:t>3</w:t>
            </w:r>
          </w:p>
        </w:tc>
        <w:tc>
          <w:tcPr>
            <w:tcW w:w="191" w:type="pct"/>
            <w:noWrap w:val="0"/>
            <w:tcMar>
              <w:top w:w="120" w:type="dxa"/>
              <w:left w:w="120" w:type="dxa"/>
              <w:bottom w:w="120" w:type="dxa"/>
              <w:right w:w="120" w:type="dxa"/>
            </w:tcMar>
            <w:vAlign w:val="center"/>
          </w:tcPr>
          <w:p w14:paraId="55AA63CC">
            <w:pPr>
              <w:keepNext w:val="0"/>
              <w:keepLines w:val="0"/>
              <w:pageBreakBefore w:val="0"/>
              <w:widowControl w:val="0"/>
              <w:kinsoku/>
              <w:wordWrap/>
              <w:overflowPunct/>
              <w:topLinePunct w:val="0"/>
              <w:autoSpaceDE/>
              <w:autoSpaceDN/>
              <w:bidi w:val="0"/>
              <w:adjustRightInd/>
              <w:snapToGrid/>
              <w:spacing w:line="225" w:lineRule="auto"/>
              <w:ind w:left="0" w:leftChars="0" w:right="0" w:rightChars="0"/>
              <w:jc w:val="center"/>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color w:val="auto"/>
                <w:sz w:val="21"/>
                <w:szCs w:val="21"/>
                <w:highlight w:val="none"/>
                <w:lang w:val="en-US" w:eastAsia="zh-CN"/>
              </w:rPr>
              <w:t>中试公司</w:t>
            </w:r>
          </w:p>
        </w:tc>
        <w:tc>
          <w:tcPr>
            <w:tcW w:w="183" w:type="pct"/>
            <w:noWrap w:val="0"/>
            <w:tcMar>
              <w:top w:w="120" w:type="dxa"/>
              <w:left w:w="120" w:type="dxa"/>
              <w:bottom w:w="120" w:type="dxa"/>
              <w:right w:w="120" w:type="dxa"/>
            </w:tcMar>
            <w:vAlign w:val="center"/>
          </w:tcPr>
          <w:p w14:paraId="02E2121E">
            <w:pPr>
              <w:keepNext w:val="0"/>
              <w:keepLines w:val="0"/>
              <w:pageBreakBefore w:val="0"/>
              <w:widowControl w:val="0"/>
              <w:kinsoku/>
              <w:wordWrap/>
              <w:overflowPunct/>
              <w:topLinePunct w:val="0"/>
              <w:autoSpaceDE/>
              <w:autoSpaceDN/>
              <w:bidi w:val="0"/>
              <w:adjustRightInd/>
              <w:snapToGrid/>
              <w:spacing w:line="223" w:lineRule="auto"/>
              <w:ind w:left="0" w:leftChars="0" w:right="0" w:rightChars="0"/>
              <w:jc w:val="center"/>
              <w:textAlignment w:val="auto"/>
              <w:rPr>
                <w:rFonts w:hint="default" w:ascii="Times New Roman" w:hAnsi="Times New Roman" w:eastAsia="仿宋_GB2312" w:cs="Times New Roman"/>
                <w:color w:val="auto"/>
                <w:spacing w:val="-1"/>
                <w:sz w:val="21"/>
                <w:szCs w:val="21"/>
                <w:highlight w:val="none"/>
                <w:lang w:val="en-US" w:eastAsia="zh-CN"/>
              </w:rPr>
            </w:pPr>
            <w:r>
              <w:rPr>
                <w:rFonts w:hint="default" w:ascii="Times New Roman" w:hAnsi="Times New Roman" w:eastAsia="仿宋_GB2312" w:cs="Times New Roman"/>
                <w:color w:val="auto"/>
                <w:spacing w:val="-1"/>
                <w:sz w:val="21"/>
                <w:szCs w:val="21"/>
                <w:highlight w:val="none"/>
                <w:lang w:val="en-US" w:eastAsia="zh-CN"/>
              </w:rPr>
              <w:t>投资</w:t>
            </w:r>
          </w:p>
          <w:p w14:paraId="57AEE3DC">
            <w:pPr>
              <w:keepNext w:val="0"/>
              <w:keepLines w:val="0"/>
              <w:pageBreakBefore w:val="0"/>
              <w:widowControl w:val="0"/>
              <w:kinsoku/>
              <w:wordWrap/>
              <w:overflowPunct/>
              <w:topLinePunct w:val="0"/>
              <w:autoSpaceDE/>
              <w:autoSpaceDN/>
              <w:bidi w:val="0"/>
              <w:adjustRightInd/>
              <w:snapToGrid/>
              <w:spacing w:line="223" w:lineRule="auto"/>
              <w:ind w:left="0" w:leftChars="0" w:right="0" w:rightChars="0"/>
              <w:jc w:val="center"/>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color w:val="auto"/>
                <w:spacing w:val="-1"/>
                <w:sz w:val="21"/>
                <w:szCs w:val="21"/>
                <w:highlight w:val="none"/>
                <w:lang w:val="en-US" w:eastAsia="zh-CN"/>
              </w:rPr>
              <w:t>经理</w:t>
            </w:r>
          </w:p>
        </w:tc>
        <w:tc>
          <w:tcPr>
            <w:tcW w:w="237" w:type="pct"/>
            <w:noWrap w:val="0"/>
            <w:tcMar>
              <w:top w:w="120" w:type="dxa"/>
              <w:left w:w="120" w:type="dxa"/>
              <w:bottom w:w="120" w:type="dxa"/>
              <w:right w:w="120" w:type="dxa"/>
            </w:tcMar>
            <w:vAlign w:val="center"/>
          </w:tcPr>
          <w:p w14:paraId="49F20070">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jc w:val="center"/>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color w:val="auto"/>
                <w:position w:val="1"/>
                <w:sz w:val="21"/>
                <w:szCs w:val="21"/>
                <w:highlight w:val="none"/>
              </w:rPr>
              <w:t>1</w:t>
            </w:r>
          </w:p>
        </w:tc>
        <w:tc>
          <w:tcPr>
            <w:tcW w:w="1198" w:type="pct"/>
            <w:noWrap w:val="0"/>
            <w:tcMar>
              <w:top w:w="120" w:type="dxa"/>
              <w:left w:w="120" w:type="dxa"/>
              <w:bottom w:w="120" w:type="dxa"/>
              <w:right w:w="120" w:type="dxa"/>
            </w:tcMar>
            <w:vAlign w:val="center"/>
          </w:tcPr>
          <w:p w14:paraId="1EF9315B">
            <w:pPr>
              <w:keepNext w:val="0"/>
              <w:keepLines w:val="0"/>
              <w:widowControl/>
              <w:numPr>
                <w:ilvl w:val="0"/>
                <w:numId w:val="5"/>
              </w:numPr>
              <w:suppressLineNumbers w:val="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项目挖掘与筛选：聚焦新能源、新材料、低空经济、航空航天、人工智能、电子信息、医疗器械等硬科技领域，通过产业调研、高校院所对接、行业活动参与等方式，挖掘具有潜力的中试熟化、概念验证等早期项目。</w:t>
            </w:r>
          </w:p>
          <w:p w14:paraId="62D61380">
            <w:pPr>
              <w:keepNext w:val="0"/>
              <w:keepLines w:val="0"/>
              <w:widowControl/>
              <w:numPr>
                <w:ilvl w:val="0"/>
                <w:numId w:val="5"/>
              </w:numPr>
              <w:suppressLineNumbers w:val="0"/>
              <w:ind w:left="0" w:leftChars="0" w:firstLine="0" w:firstLineChars="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尽职调查与评估：协助专业机构对拟投资项目开展尽职调查，为投资决策提供依据。</w:t>
            </w:r>
          </w:p>
          <w:p w14:paraId="72ED0926">
            <w:pPr>
              <w:keepNext w:val="0"/>
              <w:keepLines w:val="0"/>
              <w:widowControl/>
              <w:numPr>
                <w:ilvl w:val="0"/>
                <w:numId w:val="5"/>
              </w:numPr>
              <w:suppressLineNumbers w:val="0"/>
              <w:ind w:left="0" w:leftChars="0" w:firstLine="0" w:firstLineChars="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投资交易执行：参与投资谈判，设计投资方案，协调法务、财务等部门完成投资协议签署、资金交割等全流程工作，确保投资交易顺利落地。</w:t>
            </w:r>
          </w:p>
          <w:p w14:paraId="744BB2AE">
            <w:pPr>
              <w:keepNext w:val="0"/>
              <w:keepLines w:val="0"/>
              <w:widowControl/>
              <w:numPr>
                <w:ilvl w:val="0"/>
                <w:numId w:val="5"/>
              </w:numPr>
              <w:suppressLineNumbers w:val="0"/>
              <w:ind w:left="0" w:leftChars="0" w:firstLine="0" w:firstLineChars="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投后管理与增值服务：跟踪已投项目的运营情况，为项目团队提供战略规划、资源对接、融资支持等增值服务，推动项目快速发展，提升投资回报率。</w:t>
            </w:r>
          </w:p>
          <w:p w14:paraId="67C04C4D">
            <w:pPr>
              <w:keepNext w:val="0"/>
              <w:keepLines w:val="0"/>
              <w:widowControl/>
              <w:numPr>
                <w:ilvl w:val="0"/>
                <w:numId w:val="5"/>
              </w:numPr>
              <w:suppressLineNumbers w:val="0"/>
              <w:ind w:left="0" w:leftChars="0" w:firstLine="0" w:firstLineChars="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行业研究与生态建设：深入研究相关行业发展趋势、政策法规，输出行业研究报告；维护与高校院所、创投机构、产业园区等合作方的良好关系，构建完善的科技成果转化生态网络。</w:t>
            </w:r>
          </w:p>
          <w:p w14:paraId="38D48E2E">
            <w:pPr>
              <w:keepNext w:val="0"/>
              <w:keepLines w:val="0"/>
              <w:widowControl/>
              <w:numPr>
                <w:ilvl w:val="0"/>
                <w:numId w:val="5"/>
              </w:numPr>
              <w:suppressLineNumbers w:val="0"/>
              <w:ind w:left="0" w:leftChars="0" w:firstLine="0" w:firstLineChars="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完成领导交办的其他工作。</w:t>
            </w:r>
          </w:p>
        </w:tc>
        <w:tc>
          <w:tcPr>
            <w:tcW w:w="393" w:type="pct"/>
            <w:noWrap w:val="0"/>
            <w:tcMar>
              <w:top w:w="120" w:type="dxa"/>
              <w:left w:w="120" w:type="dxa"/>
              <w:bottom w:w="120" w:type="dxa"/>
              <w:right w:w="120" w:type="dxa"/>
            </w:tcMar>
            <w:vAlign w:val="center"/>
          </w:tcPr>
          <w:p w14:paraId="35821377">
            <w:pPr>
              <w:keepNext w:val="0"/>
              <w:keepLines w:val="0"/>
              <w:widowControl/>
              <w:numPr>
                <w:ilvl w:val="0"/>
                <w:numId w:val="0"/>
              </w:numPr>
              <w:suppressLineNumbers w:val="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36周岁及以下（1990年1月1日以后出生）</w:t>
            </w:r>
          </w:p>
        </w:tc>
        <w:tc>
          <w:tcPr>
            <w:tcW w:w="394" w:type="pct"/>
            <w:noWrap w:val="0"/>
            <w:tcMar>
              <w:top w:w="120" w:type="dxa"/>
              <w:left w:w="120" w:type="dxa"/>
              <w:bottom w:w="120" w:type="dxa"/>
              <w:right w:w="120" w:type="dxa"/>
            </w:tcMar>
            <w:vAlign w:val="center"/>
          </w:tcPr>
          <w:p w14:paraId="32896D09">
            <w:pPr>
              <w:keepNext w:val="0"/>
              <w:keepLines w:val="0"/>
              <w:widowControl/>
              <w:numPr>
                <w:ilvl w:val="0"/>
                <w:numId w:val="0"/>
              </w:numPr>
              <w:suppressLineNumbers w:val="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全日制本科及以上学历</w:t>
            </w:r>
          </w:p>
        </w:tc>
        <w:tc>
          <w:tcPr>
            <w:tcW w:w="518" w:type="pct"/>
            <w:noWrap w:val="0"/>
            <w:tcMar>
              <w:top w:w="120" w:type="dxa"/>
              <w:left w:w="120" w:type="dxa"/>
              <w:bottom w:w="120" w:type="dxa"/>
              <w:right w:w="120" w:type="dxa"/>
            </w:tcMar>
            <w:vAlign w:val="center"/>
          </w:tcPr>
          <w:p w14:paraId="0ACB0906">
            <w:pPr>
              <w:keepNext w:val="0"/>
              <w:keepLines w:val="0"/>
              <w:widowControl/>
              <w:numPr>
                <w:ilvl w:val="0"/>
                <w:numId w:val="0"/>
              </w:numPr>
              <w:suppressLineNumbers w:val="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理工科专业背景</w:t>
            </w:r>
          </w:p>
        </w:tc>
        <w:tc>
          <w:tcPr>
            <w:tcW w:w="1328" w:type="pct"/>
            <w:noWrap w:val="0"/>
            <w:tcMar>
              <w:top w:w="120" w:type="dxa"/>
              <w:left w:w="120" w:type="dxa"/>
              <w:bottom w:w="120" w:type="dxa"/>
              <w:right w:w="120" w:type="dxa"/>
            </w:tcMar>
            <w:vAlign w:val="center"/>
          </w:tcPr>
          <w:p w14:paraId="550B88CF">
            <w:pPr>
              <w:keepNext w:val="0"/>
              <w:keepLines w:val="0"/>
              <w:widowControl/>
              <w:numPr>
                <w:ilvl w:val="0"/>
                <w:numId w:val="6"/>
              </w:numPr>
              <w:suppressLineNumbers w:val="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政治素质过硬，中共党员优先；</w:t>
            </w:r>
          </w:p>
          <w:p w14:paraId="117FAA0B">
            <w:pPr>
              <w:keepNext w:val="0"/>
              <w:keepLines w:val="0"/>
              <w:widowControl/>
              <w:numPr>
                <w:ilvl w:val="0"/>
                <w:numId w:val="6"/>
              </w:numPr>
              <w:suppressLineNumbers w:val="0"/>
              <w:ind w:left="0" w:leftChars="0" w:firstLine="0" w:firstLineChars="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有投资管理、股权投资、科技成果转化等相关工作经验者优先；具有机关、事业、大型国企工作经历者优先；</w:t>
            </w:r>
          </w:p>
          <w:p w14:paraId="4D01B6B1">
            <w:pPr>
              <w:keepNext w:val="0"/>
              <w:keepLines w:val="0"/>
              <w:widowControl/>
              <w:numPr>
                <w:ilvl w:val="0"/>
                <w:numId w:val="6"/>
              </w:numPr>
              <w:suppressLineNumbers w:val="0"/>
              <w:ind w:left="0" w:leftChars="0" w:firstLine="0" w:firstLineChars="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具备较强的组织协调能力、沟通能力、执行力、文字写作和口头表达能力，具有强烈的责任感和使命感，为人正直、责任心强、严谨细心、工作仔细认真、吃苦耐劳，具有亲和力、团队合作和服务意识。</w:t>
            </w:r>
          </w:p>
        </w:tc>
        <w:tc>
          <w:tcPr>
            <w:tcW w:w="424" w:type="pct"/>
            <w:noWrap w:val="0"/>
            <w:tcMar>
              <w:top w:w="120" w:type="dxa"/>
              <w:left w:w="120" w:type="dxa"/>
              <w:bottom w:w="120" w:type="dxa"/>
              <w:right w:w="120" w:type="dxa"/>
            </w:tcMar>
            <w:vAlign w:val="center"/>
          </w:tcPr>
          <w:p w14:paraId="263CB35B">
            <w:pPr>
              <w:pStyle w:val="2"/>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b w:val="0"/>
                <w:color w:val="auto"/>
                <w:spacing w:val="1"/>
                <w:kern w:val="2"/>
                <w:sz w:val="21"/>
                <w:szCs w:val="21"/>
                <w:highlight w:val="none"/>
                <w:lang w:val="en-US" w:eastAsia="zh-CN" w:bidi="ar-SA"/>
              </w:rPr>
              <w:t>12万—18万/年</w:t>
            </w:r>
          </w:p>
        </w:tc>
      </w:tr>
    </w:tbl>
    <w:p w14:paraId="132FB00D">
      <w:pPr>
        <w:spacing w:before="58" w:line="230" w:lineRule="auto"/>
        <w:jc w:val="center"/>
        <w:rPr>
          <w:rFonts w:hint="default" w:ascii="Times New Roman" w:hAnsi="Times New Roman" w:eastAsia="方正小标宋简体" w:cs="Times New Roman"/>
          <w:color w:val="auto"/>
          <w:spacing w:val="1"/>
          <w:sz w:val="44"/>
          <w:szCs w:val="44"/>
        </w:rPr>
      </w:pPr>
    </w:p>
    <w:p w14:paraId="4D3A3561"/>
    <w:sectPr>
      <w:pgSz w:w="23811" w:h="16838"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EC4CD"/>
    <w:multiLevelType w:val="singleLevel"/>
    <w:tmpl w:val="81FEC4CD"/>
    <w:lvl w:ilvl="0" w:tentative="0">
      <w:start w:val="1"/>
      <w:numFmt w:val="decimal"/>
      <w:suff w:val="space"/>
      <w:lvlText w:val="%1."/>
      <w:lvlJc w:val="left"/>
    </w:lvl>
  </w:abstractNum>
  <w:abstractNum w:abstractNumId="1">
    <w:nsid w:val="8A3EBD39"/>
    <w:multiLevelType w:val="singleLevel"/>
    <w:tmpl w:val="8A3EBD39"/>
    <w:lvl w:ilvl="0" w:tentative="0">
      <w:start w:val="1"/>
      <w:numFmt w:val="decimal"/>
      <w:suff w:val="space"/>
      <w:lvlText w:val="%1."/>
      <w:lvlJc w:val="left"/>
    </w:lvl>
  </w:abstractNum>
  <w:abstractNum w:abstractNumId="2">
    <w:nsid w:val="F15B1D64"/>
    <w:multiLevelType w:val="singleLevel"/>
    <w:tmpl w:val="F15B1D64"/>
    <w:lvl w:ilvl="0" w:tentative="0">
      <w:start w:val="1"/>
      <w:numFmt w:val="decimal"/>
      <w:suff w:val="space"/>
      <w:lvlText w:val="%1."/>
      <w:lvlJc w:val="left"/>
    </w:lvl>
  </w:abstractNum>
  <w:abstractNum w:abstractNumId="3">
    <w:nsid w:val="0401659A"/>
    <w:multiLevelType w:val="singleLevel"/>
    <w:tmpl w:val="0401659A"/>
    <w:lvl w:ilvl="0" w:tentative="0">
      <w:start w:val="1"/>
      <w:numFmt w:val="decimal"/>
      <w:suff w:val="space"/>
      <w:lvlText w:val="%1."/>
      <w:lvlJc w:val="left"/>
    </w:lvl>
  </w:abstractNum>
  <w:abstractNum w:abstractNumId="4">
    <w:nsid w:val="106A2BE9"/>
    <w:multiLevelType w:val="singleLevel"/>
    <w:tmpl w:val="106A2BE9"/>
    <w:lvl w:ilvl="0" w:tentative="0">
      <w:start w:val="1"/>
      <w:numFmt w:val="decimal"/>
      <w:suff w:val="space"/>
      <w:lvlText w:val="%1."/>
      <w:lvlJc w:val="left"/>
    </w:lvl>
  </w:abstractNum>
  <w:abstractNum w:abstractNumId="5">
    <w:nsid w:val="1EFEA1AE"/>
    <w:multiLevelType w:val="singleLevel"/>
    <w:tmpl w:val="1EFEA1AE"/>
    <w:lvl w:ilvl="0" w:tentative="0">
      <w:start w:val="1"/>
      <w:numFmt w:val="decimal"/>
      <w:suff w:val="space"/>
      <w:lvlText w:val="%1."/>
      <w:lvlJc w:val="left"/>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972322"/>
    <w:rsid w:val="67972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b/>
      <w:kern w:val="0"/>
      <w:sz w:val="27"/>
      <w:szCs w:val="27"/>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2026-06-29T03:43:00Z</dcterms:created>
  <dc:creator>影哲</dc:creator>
  <cp:lastModifiedBy>影哲</cp:lastModifiedBy>
  <dcterms:modified xsi:type="dcterms:W3CDTF">2026-06-29T03:47:16Z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C9ED33E560084E5F844A76A52DA1463D_11</vt:lpwstr>
  </property>
  <property fmtid="{D5CDD505-2E9C-101B-9397-08002B2CF9AE}" pid="4" name="KSOTemplateDocerSaveRecord">
    <vt:lpwstr>eyJoZGlkIjoiYjgxMjJjOTI2YzliZjc2NTNhYjgxYTA3OTI0M2UwNTQiLCJ1c2VySWQiOiIyOTU0Njg4ODgifQ==</vt:lpwstr>
  </property>
</Properties>
</file>